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П</w:t>
      </w:r>
      <w:r>
        <w:rPr>
          <w:b w:val="1"/>
          <w:sz w:val="28"/>
        </w:rPr>
        <w:t>еречень</w:t>
      </w:r>
    </w:p>
    <w:p w14:paraId="02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 актов областного законодательства</w:t>
      </w:r>
      <w:r>
        <w:rPr>
          <w:b w:val="1"/>
          <w:sz w:val="28"/>
        </w:rPr>
        <w:t xml:space="preserve">, </w:t>
      </w:r>
    </w:p>
    <w:p w14:paraId="03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подлежащих признанию </w:t>
      </w:r>
      <w:r>
        <w:rPr>
          <w:b w:val="1"/>
          <w:sz w:val="28"/>
        </w:rPr>
        <w:t>утратившим</w:t>
      </w:r>
      <w:r>
        <w:rPr>
          <w:b w:val="1"/>
          <w:sz w:val="28"/>
        </w:rPr>
        <w:t>и</w:t>
      </w:r>
      <w:r>
        <w:rPr>
          <w:b w:val="1"/>
          <w:sz w:val="28"/>
        </w:rPr>
        <w:t xml:space="preserve"> силу, приостановлению, изменению, дополнению или принятию в связи с принятием </w:t>
      </w:r>
      <w:r>
        <w:rPr>
          <w:b w:val="1"/>
          <w:sz w:val="28"/>
        </w:rPr>
        <w:t>О</w:t>
      </w:r>
      <w:r>
        <w:rPr>
          <w:b w:val="1"/>
          <w:sz w:val="28"/>
        </w:rPr>
        <w:t>бластного закона</w:t>
      </w:r>
      <w:r>
        <w:rPr>
          <w:b w:val="1"/>
          <w:sz w:val="28"/>
        </w:rPr>
        <w:t xml:space="preserve">                            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«</w:t>
      </w:r>
      <w:r>
        <w:rPr>
          <w:b w:val="1"/>
          <w:sz w:val="28"/>
        </w:rPr>
        <w:t>О внесении изменени</w:t>
      </w:r>
      <w:r>
        <w:rPr>
          <w:b w:val="1"/>
          <w:sz w:val="28"/>
        </w:rPr>
        <w:t>я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 xml:space="preserve">в </w:t>
      </w:r>
      <w:r>
        <w:rPr>
          <w:b w:val="1"/>
          <w:sz w:val="28"/>
        </w:rPr>
        <w:t>статью 11 Областного закона «О ежемесячной денежной выплате на третьего ребенка или последующих детей гражданам Российской Федерации, проживающим на территории Ростовской области»</w:t>
      </w:r>
    </w:p>
    <w:p w14:paraId="04000000">
      <w:pPr>
        <w:ind/>
        <w:jc w:val="center"/>
        <w:rPr>
          <w:b w:val="1"/>
          <w:sz w:val="28"/>
        </w:rPr>
      </w:pPr>
    </w:p>
    <w:p w14:paraId="05000000">
      <w:pPr>
        <w:ind w:firstLine="708" w:left="0"/>
        <w:jc w:val="both"/>
        <w:rPr>
          <w:sz w:val="28"/>
        </w:rPr>
      </w:pPr>
    </w:p>
    <w:p w14:paraId="06000000">
      <w:pPr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В связи с принятием Областного закона «</w:t>
      </w:r>
      <w:r>
        <w:rPr>
          <w:color w:val="000000"/>
          <w:sz w:val="28"/>
        </w:rPr>
        <w:t xml:space="preserve">О внесении изменения в статью 11 Областного закона «О ежемесячной денежной выплате на третьего ребенка </w:t>
      </w:r>
      <w:r>
        <w:rPr>
          <w:color w:val="000000"/>
          <w:sz w:val="28"/>
        </w:rPr>
        <w:br/>
      </w:r>
      <w:r>
        <w:rPr>
          <w:color w:val="000000"/>
          <w:sz w:val="28"/>
        </w:rPr>
        <w:t xml:space="preserve">или последующих детей гражданам Российской Федерации, проживающим </w:t>
      </w:r>
      <w:r>
        <w:rPr>
          <w:color w:val="000000"/>
          <w:sz w:val="28"/>
        </w:rPr>
        <w:br/>
      </w:r>
      <w:bookmarkStart w:id="1" w:name="_GoBack"/>
      <w:bookmarkEnd w:id="1"/>
      <w:r>
        <w:rPr>
          <w:color w:val="000000"/>
          <w:sz w:val="28"/>
        </w:rPr>
        <w:t>н</w:t>
      </w:r>
      <w:r>
        <w:rPr>
          <w:color w:val="000000"/>
          <w:sz w:val="28"/>
        </w:rPr>
        <w:t>а территории Ростовской области</w:t>
      </w:r>
      <w:r>
        <w:rPr>
          <w:color w:val="000000"/>
          <w:sz w:val="28"/>
        </w:rPr>
        <w:t xml:space="preserve">» потребуется внесение изменений в Областной закон </w:t>
      </w:r>
      <w:r>
        <w:rPr>
          <w:color w:val="000000"/>
          <w:sz w:val="28"/>
        </w:rPr>
        <w:t>от 14.12.2023</w:t>
      </w:r>
      <w:r>
        <w:rPr>
          <w:color w:val="000000"/>
          <w:sz w:val="28"/>
        </w:rPr>
        <w:t xml:space="preserve"> № 58-ЗС «Об областном бюджете на 2024 год и на плановый период 2025 и 2026 годов». </w:t>
      </w:r>
    </w:p>
    <w:p w14:paraId="07000000">
      <w:pPr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Признания утратившими силу, приостановления, изменения, дополнения или принятия каких-либо иных актов областного законодательства в связи с принятием Областного закона «О внесении изменений в отдельные областные законы» </w:t>
      </w:r>
      <w:r>
        <w:rPr>
          <w:color w:val="000000"/>
          <w:sz w:val="28"/>
        </w:rPr>
        <w:br/>
      </w:r>
      <w:r>
        <w:rPr>
          <w:color w:val="000000"/>
          <w:sz w:val="28"/>
        </w:rPr>
        <w:t>не потребуется.</w:t>
      </w:r>
    </w:p>
    <w:p w14:paraId="08000000">
      <w:pPr>
        <w:rPr>
          <w:sz w:val="28"/>
        </w:rPr>
      </w:pPr>
    </w:p>
    <w:p w14:paraId="09000000">
      <w:pPr>
        <w:rPr>
          <w:sz w:val="28"/>
        </w:rPr>
      </w:pPr>
    </w:p>
    <w:p w14:paraId="0A000000">
      <w:pPr>
        <w:rPr>
          <w:sz w:val="28"/>
        </w:rPr>
      </w:pPr>
      <w:r>
        <w:rPr>
          <w:sz w:val="28"/>
        </w:rPr>
        <w:t>Министр</w:t>
      </w:r>
      <w:r>
        <w:rPr>
          <w:sz w:val="28"/>
        </w:rPr>
        <w:t xml:space="preserve"> труда и социального  </w:t>
      </w:r>
    </w:p>
    <w:p w14:paraId="0B000000">
      <w:pPr>
        <w:rPr>
          <w:sz w:val="28"/>
        </w:rPr>
      </w:pPr>
      <w:r>
        <w:rPr>
          <w:sz w:val="28"/>
        </w:rPr>
        <w:t xml:space="preserve"> развития Ростовской области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 xml:space="preserve">              </w:t>
      </w:r>
      <w:r>
        <w:rPr>
          <w:sz w:val="28"/>
        </w:rPr>
        <w:t xml:space="preserve">                                  И.Н. Шувалова</w:t>
      </w:r>
      <w:r>
        <w:rPr>
          <w:sz w:val="28"/>
        </w:rPr>
        <w:t xml:space="preserve"> </w:t>
      </w:r>
    </w:p>
    <w:p w14:paraId="0C000000">
      <w:pPr>
        <w:tabs>
          <w:tab w:leader="none" w:pos="567" w:val="left"/>
        </w:tabs>
        <w:ind/>
        <w:rPr>
          <w:sz w:val="28"/>
        </w:rPr>
      </w:pPr>
    </w:p>
    <w:p w14:paraId="0D000000"/>
    <w:p w14:paraId="0E000000"/>
    <w:p w14:paraId="0F000000"/>
    <w:p w14:paraId="10000000"/>
    <w:p w14:paraId="11000000"/>
    <w:p w14:paraId="12000000"/>
    <w:p w14:paraId="13000000"/>
    <w:p w14:paraId="14000000"/>
    <w:p w14:paraId="15000000"/>
    <w:sectPr>
      <w:pgSz w:h="16838" w:orient="portrait" w:w="11906"/>
      <w:pgMar w:bottom="1134" w:footer="709" w:gutter="0" w:header="709" w:left="1134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rPr>
      <w:sz w:val="24"/>
    </w:rPr>
  </w:style>
  <w:style w:default="1" w:styleId="Style_1_ch" w:type="character">
    <w:name w:val="Normal"/>
    <w:link w:val="Style_1"/>
    <w:rPr>
      <w:sz w:val="24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9" w:type="paragraph">
    <w:name w:val="toc 3"/>
    <w:next w:val="Style_1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Balloon Text"/>
    <w:basedOn w:val="Style_1"/>
    <w:link w:val="Style_10_ch"/>
    <w:rPr>
      <w:rFonts w:ascii="Tahoma" w:hAnsi="Tahoma"/>
      <w:sz w:val="16"/>
    </w:rPr>
  </w:style>
  <w:style w:styleId="Style_10_ch" w:type="character">
    <w:name w:val="Balloon Text"/>
    <w:basedOn w:val="Style_1_ch"/>
    <w:link w:val="Style_10"/>
    <w:rPr>
      <w:rFonts w:ascii="Tahoma" w:hAnsi="Tahoma"/>
      <w:sz w:val="16"/>
    </w:rPr>
  </w:style>
  <w:style w:styleId="Style_11" w:type="paragraph">
    <w:name w:val="heading 5"/>
    <w:next w:val="Style_1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1"/>
    <w:link w:val="Style_1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1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1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1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1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1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1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1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1"/>
    <w:link w:val="Style_2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MyOffice-CoreFramework-Windows/32-1208.815.9166.836.1@c028b4579ab889516ede6e689f46f6dad43bf900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2024-09-12T15:46:23Z</dcterms:modified>
</cp:coreProperties>
</file>