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Ind w:type="dxa" w:w="5070"/>
        <w:tblLayout w:type="fixed"/>
      </w:tblPr>
      <w:tblGrid>
        <w:gridCol w:w="4961"/>
      </w:tblGrid>
      <w:tr>
        <w:tc>
          <w:tcPr>
            <w:tcW w:type="dxa" w:w="4961"/>
          </w:tcPr>
          <w:tbl>
            <w:tblPr>
              <w:tblStyle w:val="Style_1"/>
              <w:tblInd w:type="dxa" w:w="1309"/>
              <w:tblLayout w:type="fixed"/>
            </w:tblPr>
            <w:tblGrid>
              <w:gridCol w:w="4111"/>
              <w:gridCol w:w="4395"/>
            </w:tblGrid>
            <w:tr>
              <w:tc>
                <w:tcPr>
                  <w:tcW w:type="dxa" w:w="4111"/>
                </w:tcPr>
                <w:p w14:paraId="01000000">
                  <w:pPr>
                    <w:ind w:right="601"/>
                    <w:jc w:val="right"/>
                  </w:pPr>
                  <w:r>
                    <w:t>П</w:t>
                  </w:r>
                  <w:r>
                    <w:t>РОЕКТ</w:t>
                  </w:r>
                </w:p>
              </w:tc>
              <w:tc>
                <w:tcPr>
                  <w:tcW w:type="dxa" w:w="4395"/>
                </w:tcPr>
                <w:p w14:paraId="02000000">
                  <w:pPr>
                    <w:ind/>
                    <w:jc w:val="right"/>
                  </w:pPr>
                </w:p>
              </w:tc>
            </w:tr>
            <w:tr>
              <w:tc>
                <w:tcPr>
                  <w:tcW w:type="dxa" w:w="4111"/>
                </w:tcPr>
                <w:p w14:paraId="03000000"/>
                <w:p w14:paraId="04000000">
                  <w:r>
                    <w:t>Внесен</w:t>
                  </w:r>
                  <w:r>
                    <w:t xml:space="preserve"> Губернатором </w:t>
                  </w:r>
                </w:p>
                <w:p w14:paraId="05000000">
                  <w:r>
                    <w:t xml:space="preserve">Ростовской области </w:t>
                  </w:r>
                </w:p>
              </w:tc>
              <w:tc>
                <w:tcPr>
                  <w:tcW w:type="dxa" w:w="4395"/>
                </w:tcPr>
                <w:p/>
              </w:tc>
            </w:tr>
            <w:tr>
              <w:tc>
                <w:tcPr>
                  <w:tcW w:type="dxa" w:w="4111"/>
                </w:tcPr>
                <w:p w14:paraId="06000000">
                  <w:r>
                    <w:t>Подготовлен</w:t>
                  </w:r>
                  <w:r>
                    <w:t xml:space="preserve"> министерством имущественных и земельных отношений, финансового оздоровления предприятий, организаций Ростовской области</w:t>
                  </w:r>
                </w:p>
                <w:p w14:paraId="07000000"/>
              </w:tc>
              <w:tc>
                <w:tcPr>
                  <w:tcW w:type="dxa" w:w="4395"/>
                </w:tcPr>
                <w:p w14:paraId="08000000">
                  <w:pPr>
                    <w:ind/>
                    <w:jc w:val="right"/>
                  </w:pPr>
                </w:p>
              </w:tc>
            </w:tr>
          </w:tbl>
          <w:p w14:paraId="09000000">
            <w:pPr>
              <w:pStyle w:val="Style_2"/>
              <w:ind/>
              <w:jc w:val="both"/>
            </w:pPr>
          </w:p>
        </w:tc>
      </w:tr>
    </w:tbl>
    <w:p w14:paraId="0A000000">
      <w:pPr>
        <w:pStyle w:val="Style_3"/>
        <w:ind/>
        <w:jc w:val="center"/>
        <w:rPr>
          <w:b w:val="1"/>
          <w:sz w:val="32"/>
        </w:rPr>
      </w:pPr>
    </w:p>
    <w:p w14:paraId="0B000000">
      <w:pPr>
        <w:pStyle w:val="Style_3"/>
        <w:ind/>
        <w:jc w:val="center"/>
        <w:rPr>
          <w:b w:val="1"/>
          <w:sz w:val="32"/>
        </w:rPr>
      </w:pPr>
    </w:p>
    <w:p w14:paraId="0C000000">
      <w:pPr>
        <w:pStyle w:val="Style_3"/>
        <w:ind/>
        <w:jc w:val="center"/>
        <w:rPr>
          <w:b w:val="1"/>
          <w:sz w:val="32"/>
        </w:rPr>
      </w:pPr>
      <w:r>
        <w:rPr>
          <w:b w:val="1"/>
          <w:sz w:val="32"/>
        </w:rPr>
        <w:t>ОБЛАСТНОЙ ЗАКОН</w:t>
      </w:r>
    </w:p>
    <w:p w14:paraId="0D000000">
      <w:pPr>
        <w:ind w:firstLine="540" w:left="0"/>
        <w:jc w:val="both"/>
        <w:outlineLvl w:val="0"/>
        <w:rPr>
          <w:b w:val="1"/>
          <w:sz w:val="28"/>
        </w:rPr>
      </w:pPr>
    </w:p>
    <w:p w14:paraId="0E000000">
      <w:pPr>
        <w:pStyle w:val="Style_4"/>
        <w:ind/>
        <w:jc w:val="center"/>
        <w:rPr>
          <w:b w:val="1"/>
        </w:rPr>
      </w:pPr>
      <w:r>
        <w:rPr>
          <w:b w:val="1"/>
        </w:rPr>
        <w:t>О ВНЕСЕНИИ ИЗМЕНЕНИЙ</w:t>
      </w:r>
    </w:p>
    <w:p w14:paraId="0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В СТАТЬИ 9</w:t>
      </w:r>
      <w:r>
        <w:rPr>
          <w:b w:val="1"/>
          <w:sz w:val="28"/>
        </w:rPr>
        <w:t xml:space="preserve"> 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10</w:t>
      </w:r>
      <w:r>
        <w:rPr>
          <w:b w:val="1"/>
          <w:sz w:val="28"/>
          <w:vertAlign w:val="superscript"/>
        </w:rPr>
        <w:t>1</w:t>
      </w:r>
      <w:r>
        <w:rPr>
          <w:b w:val="1"/>
          <w:sz w:val="28"/>
        </w:rPr>
        <w:t xml:space="preserve"> ОБЛАСТНОГО ЗАКОНА </w:t>
      </w: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О ПРИВАТИЗАЦИИ ГОСУДАРСТВЕННОГО ИМУЩЕСТВА РОСТОВСКОЙ ОБЛАСТИ</w:t>
      </w:r>
      <w:r>
        <w:rPr>
          <w:b w:val="1"/>
          <w:sz w:val="28"/>
        </w:rPr>
        <w:t>»</w:t>
      </w:r>
    </w:p>
    <w:p w14:paraId="11000000">
      <w:pPr>
        <w:ind/>
        <w:jc w:val="center"/>
        <w:rPr>
          <w:sz w:val="28"/>
        </w:rPr>
      </w:pPr>
    </w:p>
    <w:p w14:paraId="12000000">
      <w:pPr>
        <w:ind/>
        <w:jc w:val="both"/>
        <w:rPr>
          <w:sz w:val="28"/>
        </w:rPr>
      </w:pPr>
    </w:p>
    <w:p w14:paraId="13000000">
      <w:pPr>
        <w:rPr>
          <w:b w:val="1"/>
          <w:sz w:val="28"/>
        </w:rPr>
      </w:pPr>
      <w:r>
        <w:rPr>
          <w:sz w:val="28"/>
        </w:rPr>
        <w:t xml:space="preserve">                </w:t>
      </w:r>
      <w:r>
        <w:rPr>
          <w:b w:val="1"/>
          <w:sz w:val="28"/>
        </w:rPr>
        <w:t>Принят</w:t>
      </w:r>
    </w:p>
    <w:p w14:paraId="14000000">
      <w:pPr>
        <w:rPr>
          <w:b w:val="1"/>
          <w:sz w:val="28"/>
        </w:rPr>
      </w:pPr>
      <w:r>
        <w:rPr>
          <w:b w:val="1"/>
          <w:sz w:val="28"/>
        </w:rPr>
        <w:t xml:space="preserve">Законодательным Собранием </w:t>
      </w:r>
      <w:r>
        <w:rPr>
          <w:b w:val="1"/>
          <w:sz w:val="28"/>
        </w:rPr>
        <w:t xml:space="preserve">     </w:t>
      </w:r>
      <w:r>
        <w:rPr>
          <w:b w:val="1"/>
          <w:sz w:val="28"/>
        </w:rPr>
        <w:t xml:space="preserve">           </w:t>
      </w:r>
      <w:r>
        <w:rPr>
          <w:b w:val="1"/>
          <w:sz w:val="28"/>
        </w:rPr>
        <w:t xml:space="preserve">    </w:t>
      </w:r>
      <w:r>
        <w:rPr>
          <w:b w:val="1"/>
          <w:sz w:val="28"/>
        </w:rPr>
        <w:t xml:space="preserve">       </w:t>
      </w:r>
      <w:r>
        <w:rPr>
          <w:b w:val="1"/>
          <w:sz w:val="28"/>
        </w:rPr>
        <w:t xml:space="preserve">    «____»</w:t>
      </w:r>
      <w:r>
        <w:rPr>
          <w:b w:val="1"/>
          <w:sz w:val="28"/>
        </w:rPr>
        <w:t xml:space="preserve">____________ </w:t>
      </w:r>
      <w:r>
        <w:rPr>
          <w:b w:val="1"/>
          <w:sz w:val="28"/>
        </w:rPr>
        <w:t>202</w:t>
      </w:r>
      <w:r>
        <w:rPr>
          <w:b w:val="1"/>
          <w:sz w:val="28"/>
        </w:rPr>
        <w:t>4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года</w:t>
      </w:r>
    </w:p>
    <w:p w14:paraId="15000000">
      <w:pPr>
        <w:ind/>
        <w:jc w:val="both"/>
        <w:rPr>
          <w:sz w:val="28"/>
        </w:rPr>
      </w:pPr>
    </w:p>
    <w:p w14:paraId="16000000">
      <w:pPr>
        <w:ind/>
        <w:jc w:val="both"/>
        <w:rPr>
          <w:sz w:val="28"/>
        </w:rPr>
      </w:pPr>
    </w:p>
    <w:p w14:paraId="17000000">
      <w:pPr>
        <w:ind w:firstLine="540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>Статья 1</w:t>
      </w:r>
    </w:p>
    <w:p w14:paraId="18000000">
      <w:pPr>
        <w:ind/>
        <w:jc w:val="both"/>
        <w:rPr>
          <w:sz w:val="28"/>
        </w:rPr>
      </w:pPr>
    </w:p>
    <w:p w14:paraId="19000000">
      <w:pPr>
        <w:ind w:firstLine="540" w:left="0"/>
        <w:jc w:val="both"/>
        <w:rPr>
          <w:sz w:val="28"/>
        </w:rPr>
      </w:pPr>
      <w:r>
        <w:rPr>
          <w:sz w:val="28"/>
        </w:rPr>
        <w:t xml:space="preserve">Внести в Областной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"consultantplus://offline/ref=97C8DAF1D6C4733C30E047D33A3292C38DA2083D3043B8536E2F8C0E5EA053553CDC2C8FABA79067689592E58186B8501EdBjCL"</w:instrText>
      </w:r>
      <w:r>
        <w:rPr>
          <w:sz w:val="28"/>
        </w:rPr>
        <w:fldChar w:fldCharType="separate"/>
      </w:r>
      <w:r>
        <w:rPr>
          <w:sz w:val="28"/>
        </w:rPr>
        <w:t>закон</w:t>
      </w:r>
      <w:r>
        <w:rPr>
          <w:sz w:val="28"/>
        </w:rPr>
        <w:fldChar w:fldCharType="end"/>
      </w:r>
      <w:r>
        <w:rPr>
          <w:sz w:val="28"/>
        </w:rPr>
        <w:t xml:space="preserve"> от 18 июля 2002 года № 255-ЗС «О приватизации государственного имущества Ростовской области» следующие изменения:</w:t>
      </w:r>
    </w:p>
    <w:p w14:paraId="1A000000"/>
    <w:p w14:paraId="1B000000">
      <w:pPr>
        <w:ind w:firstLine="540" w:left="0"/>
        <w:jc w:val="both"/>
        <w:rPr>
          <w:sz w:val="28"/>
        </w:rPr>
      </w:pPr>
      <w:r>
        <w:rPr>
          <w:sz w:val="28"/>
        </w:rPr>
        <w:t>1) в</w:t>
      </w:r>
      <w:r>
        <w:rPr>
          <w:sz w:val="28"/>
        </w:rPr>
        <w:t xml:space="preserve"> статье 9</w:t>
      </w:r>
      <w:r>
        <w:rPr>
          <w:sz w:val="28"/>
        </w:rPr>
        <w:t>:</w:t>
      </w:r>
    </w:p>
    <w:p w14:paraId="1C000000">
      <w:pPr>
        <w:ind w:firstLine="540" w:left="0"/>
        <w:jc w:val="both"/>
        <w:rPr>
          <w:sz w:val="28"/>
        </w:rPr>
      </w:pPr>
      <w:r>
        <w:rPr>
          <w:sz w:val="28"/>
        </w:rPr>
        <w:t>а) абзац первый пункта 1 изложить в следующей редакции:</w:t>
      </w:r>
    </w:p>
    <w:p w14:paraId="1D000000">
      <w:pPr>
        <w:ind w:firstLine="540" w:left="0"/>
        <w:jc w:val="both"/>
        <w:rPr>
          <w:sz w:val="28"/>
        </w:rPr>
      </w:pPr>
      <w:r>
        <w:rPr>
          <w:sz w:val="28"/>
        </w:rPr>
        <w:t xml:space="preserve">«1. Продажа находящихся в государственной собственности Ростовской области акций акционерного общества, долей в уставном капитале общества </w:t>
      </w:r>
      <w:r>
        <w:rPr>
          <w:sz w:val="28"/>
        </w:rPr>
        <w:t>с</w:t>
      </w:r>
      <w:r>
        <w:rPr>
          <w:sz w:val="28"/>
        </w:rPr>
        <w:t xml:space="preserve">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 (далее - реестр объектов культурного наследия), иного имущества, указанного в статье 20 Федерального закона, осуществляется на конкурсе в соответствии с Федеральным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"https://login.consultant.ru/link/?req=doc&amp;base=LAW&amp;n=452996"</w:instrText>
      </w:r>
      <w:r>
        <w:rPr>
          <w:sz w:val="28"/>
        </w:rPr>
        <w:fldChar w:fldCharType="separate"/>
      </w:r>
      <w:r>
        <w:rPr>
          <w:sz w:val="28"/>
        </w:rPr>
        <w:t>законом</w:t>
      </w:r>
      <w:r>
        <w:rPr>
          <w:sz w:val="28"/>
        </w:rPr>
        <w:fldChar w:fldCharType="end"/>
      </w:r>
      <w:r>
        <w:rPr>
          <w:sz w:val="28"/>
        </w:rPr>
        <w:t>.»;</w:t>
      </w:r>
    </w:p>
    <w:p w14:paraId="1E000000">
      <w:pPr>
        <w:ind w:firstLine="540" w:left="0"/>
        <w:jc w:val="both"/>
        <w:rPr>
          <w:sz w:val="28"/>
        </w:rPr>
      </w:pPr>
      <w:r>
        <w:rPr>
          <w:sz w:val="28"/>
        </w:rPr>
        <w:t>б) абзац второй пункта 2 изложить в следующей редакции:</w:t>
      </w:r>
    </w:p>
    <w:p w14:paraId="1F000000">
      <w:pPr>
        <w:ind w:firstLine="540" w:left="0"/>
        <w:jc w:val="both"/>
        <w:rPr>
          <w:sz w:val="28"/>
        </w:rPr>
      </w:pPr>
      <w:r>
        <w:rPr>
          <w:sz w:val="28"/>
        </w:rPr>
        <w:t xml:space="preserve">«Особенности продажи объекта культурного наследия, включенного в реестр объектов культурного наследия, иного имущества, указанного в статье 20 Федерального закона, в том числе сроки выполнения его условий, устанавливаются в соответствии с Федеральным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"https://login.consultant.ru/link/?req=doc&amp;base=LAW&amp;n=452996"</w:instrText>
      </w:r>
      <w:r>
        <w:rPr>
          <w:sz w:val="28"/>
        </w:rPr>
        <w:fldChar w:fldCharType="separate"/>
      </w:r>
      <w:r>
        <w:rPr>
          <w:sz w:val="28"/>
        </w:rPr>
        <w:t>законом</w:t>
      </w:r>
      <w:r>
        <w:rPr>
          <w:sz w:val="28"/>
        </w:rPr>
        <w:fldChar w:fldCharType="end"/>
      </w:r>
      <w:r>
        <w:rPr>
          <w:sz w:val="28"/>
        </w:rPr>
        <w:t>.»;</w:t>
      </w:r>
    </w:p>
    <w:p w14:paraId="20000000">
      <w:pPr>
        <w:ind w:firstLine="540" w:left="0"/>
        <w:jc w:val="both"/>
        <w:rPr>
          <w:sz w:val="28"/>
        </w:rPr>
      </w:pPr>
      <w:r>
        <w:rPr>
          <w:sz w:val="28"/>
        </w:rPr>
        <w:t>2) подпункт 3 пункта 1 статьи 10</w:t>
      </w:r>
      <w:r>
        <w:rPr>
          <w:sz w:val="28"/>
          <w:vertAlign w:val="superscript"/>
        </w:rPr>
        <w:t>1</w:t>
      </w:r>
      <w:r>
        <w:rPr>
          <w:sz w:val="28"/>
          <w:vertAlign w:val="superscript"/>
        </w:rPr>
        <w:t xml:space="preserve"> </w:t>
      </w:r>
      <w:r>
        <w:rPr>
          <w:sz w:val="28"/>
        </w:rPr>
        <w:t>изложить в следующей редакции</w:t>
      </w:r>
      <w:r>
        <w:rPr>
          <w:sz w:val="28"/>
        </w:rPr>
        <w:t>:</w:t>
      </w:r>
      <w:r>
        <w:rPr>
          <w:sz w:val="28"/>
        </w:rPr>
        <w:t xml:space="preserve">  </w:t>
      </w:r>
    </w:p>
    <w:p w14:paraId="21000000">
      <w:pPr>
        <w:ind w:firstLine="540" w:left="0"/>
        <w:jc w:val="both"/>
        <w:rPr>
          <w:sz w:val="28"/>
        </w:rPr>
      </w:pPr>
      <w:r>
        <w:rPr>
          <w:sz w:val="28"/>
        </w:rPr>
        <w:t>«3) продажа указанного в статье 9 настоящего Областного закона государственного имущества Ростовской области на конкурсе</w:t>
      </w:r>
      <w:r>
        <w:rPr>
          <w:sz w:val="28"/>
        </w:rPr>
        <w:t>;»</w:t>
      </w:r>
      <w:r>
        <w:rPr>
          <w:sz w:val="28"/>
        </w:rPr>
        <w:t>.</w:t>
      </w:r>
    </w:p>
    <w:p w14:paraId="22000000">
      <w:pPr>
        <w:ind w:firstLine="540" w:left="0"/>
        <w:jc w:val="both"/>
        <w:rPr>
          <w:sz w:val="28"/>
        </w:rPr>
      </w:pPr>
      <w:r>
        <w:rPr>
          <w:sz w:val="28"/>
        </w:rPr>
        <w:t xml:space="preserve"> </w:t>
      </w:r>
    </w:p>
    <w:p w14:paraId="23000000">
      <w:pPr>
        <w:ind w:firstLine="540" w:left="0"/>
        <w:jc w:val="both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24000000">
      <w:pPr>
        <w:ind w:firstLine="540" w:left="0"/>
        <w:jc w:val="both"/>
        <w:rPr>
          <w:sz w:val="28"/>
        </w:rPr>
      </w:pPr>
    </w:p>
    <w:p w14:paraId="25000000">
      <w:pPr>
        <w:ind w:firstLine="540" w:left="0"/>
        <w:jc w:val="both"/>
        <w:rPr>
          <w:sz w:val="28"/>
        </w:rPr>
      </w:pPr>
      <w:r>
        <w:rPr>
          <w:sz w:val="28"/>
        </w:rPr>
        <w:t>Настоящий Областной закон вступает в силу с 26 мая 2024 года.</w:t>
      </w:r>
    </w:p>
    <w:p w14:paraId="26000000">
      <w:pPr>
        <w:ind w:firstLine="540" w:left="0"/>
        <w:jc w:val="both"/>
        <w:rPr>
          <w:sz w:val="28"/>
        </w:rPr>
      </w:pPr>
    </w:p>
    <w:p w14:paraId="27000000">
      <w:pPr>
        <w:ind w:firstLine="540" w:left="0"/>
        <w:jc w:val="both"/>
        <w:rPr>
          <w:sz w:val="28"/>
        </w:rPr>
      </w:pPr>
    </w:p>
    <w:p w14:paraId="28000000">
      <w:pPr>
        <w:ind w:firstLine="540" w:left="0"/>
        <w:jc w:val="both"/>
        <w:rPr>
          <w:sz w:val="28"/>
        </w:rPr>
      </w:pPr>
    </w:p>
    <w:p w14:paraId="29000000">
      <w:pPr>
        <w:ind w:firstLine="540" w:left="0"/>
        <w:jc w:val="both"/>
        <w:rPr>
          <w:sz w:val="28"/>
        </w:rPr>
      </w:pPr>
      <w:r>
        <w:rPr>
          <w:sz w:val="28"/>
        </w:rPr>
        <w:t xml:space="preserve">Губернатор </w:t>
      </w:r>
    </w:p>
    <w:p w14:paraId="2A000000">
      <w:pPr>
        <w:ind/>
        <w:jc w:val="both"/>
        <w:rPr>
          <w:sz w:val="28"/>
        </w:rPr>
      </w:pPr>
      <w:r>
        <w:rPr>
          <w:sz w:val="28"/>
        </w:rPr>
        <w:t xml:space="preserve">Ростовской области                                                                                   В.Ю. </w:t>
      </w:r>
      <w:r>
        <w:rPr>
          <w:sz w:val="28"/>
        </w:rPr>
        <w:t>Голубев</w:t>
      </w:r>
    </w:p>
    <w:p w14:paraId="2B000000">
      <w:pPr>
        <w:ind w:firstLine="540" w:left="0"/>
        <w:jc w:val="both"/>
        <w:rPr>
          <w:sz w:val="28"/>
        </w:rPr>
      </w:pPr>
    </w:p>
    <w:p w14:paraId="2C000000">
      <w:pPr>
        <w:ind w:firstLine="540" w:left="0"/>
        <w:jc w:val="both"/>
        <w:rPr>
          <w:sz w:val="28"/>
        </w:rPr>
      </w:pPr>
    </w:p>
    <w:p w14:paraId="2D000000">
      <w:pPr>
        <w:ind w:firstLine="540" w:left="0"/>
        <w:jc w:val="both"/>
        <w:rPr>
          <w:sz w:val="28"/>
        </w:rPr>
      </w:pPr>
    </w:p>
    <w:tbl>
      <w:tblPr>
        <w:tblStyle w:val="Style_1"/>
        <w:tblInd w:type="dxa" w:w="-318"/>
        <w:tblLayout w:type="fixed"/>
      </w:tblPr>
      <w:tblGrid>
        <w:gridCol w:w="4961"/>
        <w:gridCol w:w="5388"/>
      </w:tblGrid>
      <w:tr>
        <w:tc>
          <w:tcPr>
            <w:tcW w:type="dxa" w:w="4961"/>
          </w:tcPr>
          <w:p w14:paraId="2E000000">
            <w:pPr>
              <w:pStyle w:val="Style_5"/>
              <w:ind w:firstLine="0" w:left="318"/>
              <w:jc w:val="left"/>
            </w:pPr>
          </w:p>
          <w:p w14:paraId="2F000000">
            <w:pPr>
              <w:pStyle w:val="Style_5"/>
              <w:ind w:firstLine="0" w:left="318"/>
              <w:jc w:val="left"/>
            </w:pPr>
          </w:p>
          <w:p w14:paraId="30000000">
            <w:pPr>
              <w:pStyle w:val="Style_5"/>
              <w:ind w:firstLine="0" w:left="318"/>
              <w:jc w:val="left"/>
            </w:pPr>
          </w:p>
          <w:p w14:paraId="31000000">
            <w:pPr>
              <w:pStyle w:val="Style_5"/>
              <w:ind w:firstLine="0" w:left="318"/>
              <w:jc w:val="left"/>
            </w:pPr>
          </w:p>
          <w:p w14:paraId="32000000">
            <w:pPr>
              <w:pStyle w:val="Style_5"/>
              <w:ind w:firstLine="0" w:left="318"/>
              <w:jc w:val="left"/>
            </w:pPr>
          </w:p>
          <w:p w14:paraId="33000000">
            <w:pPr>
              <w:pStyle w:val="Style_5"/>
              <w:ind w:firstLine="0" w:left="318"/>
              <w:jc w:val="left"/>
            </w:pPr>
          </w:p>
          <w:p w14:paraId="34000000">
            <w:pPr>
              <w:pStyle w:val="Style_5"/>
              <w:ind w:firstLine="0" w:left="318"/>
              <w:jc w:val="left"/>
            </w:pPr>
          </w:p>
          <w:p w14:paraId="35000000">
            <w:pPr>
              <w:pStyle w:val="Style_5"/>
              <w:ind w:firstLine="0" w:left="318"/>
              <w:jc w:val="left"/>
            </w:pPr>
          </w:p>
          <w:p w14:paraId="36000000">
            <w:pPr>
              <w:pStyle w:val="Style_5"/>
              <w:ind w:firstLine="0" w:left="318"/>
              <w:jc w:val="left"/>
            </w:pPr>
          </w:p>
          <w:p w14:paraId="37000000">
            <w:pPr>
              <w:pStyle w:val="Style_5"/>
              <w:ind w:firstLine="0" w:left="318"/>
              <w:jc w:val="left"/>
            </w:pPr>
          </w:p>
          <w:p w14:paraId="38000000">
            <w:pPr>
              <w:pStyle w:val="Style_5"/>
              <w:ind w:firstLine="0" w:left="318"/>
              <w:jc w:val="left"/>
            </w:pPr>
          </w:p>
          <w:p w14:paraId="39000000">
            <w:pPr>
              <w:pStyle w:val="Style_5"/>
              <w:ind w:firstLine="0" w:left="318"/>
              <w:jc w:val="left"/>
            </w:pPr>
          </w:p>
          <w:p w14:paraId="3A000000">
            <w:pPr>
              <w:pStyle w:val="Style_5"/>
              <w:ind w:firstLine="0" w:left="318"/>
              <w:jc w:val="left"/>
            </w:pPr>
          </w:p>
          <w:p w14:paraId="3B000000">
            <w:pPr>
              <w:pStyle w:val="Style_5"/>
              <w:ind w:firstLine="0" w:left="318"/>
              <w:jc w:val="left"/>
            </w:pPr>
          </w:p>
          <w:p w14:paraId="3C000000">
            <w:pPr>
              <w:pStyle w:val="Style_5"/>
              <w:ind w:firstLine="0" w:left="318"/>
              <w:jc w:val="left"/>
            </w:pPr>
          </w:p>
          <w:p w14:paraId="3D000000">
            <w:pPr>
              <w:pStyle w:val="Style_5"/>
              <w:ind w:firstLine="0" w:left="318"/>
              <w:jc w:val="left"/>
            </w:pPr>
          </w:p>
          <w:p w14:paraId="3E000000">
            <w:pPr>
              <w:pStyle w:val="Style_5"/>
              <w:ind w:firstLine="0" w:left="318"/>
              <w:jc w:val="left"/>
            </w:pPr>
          </w:p>
          <w:p w14:paraId="3F000000">
            <w:pPr>
              <w:pStyle w:val="Style_5"/>
              <w:ind w:firstLine="0" w:left="318"/>
              <w:jc w:val="left"/>
            </w:pPr>
          </w:p>
          <w:p w14:paraId="40000000">
            <w:pPr>
              <w:pStyle w:val="Style_5"/>
              <w:ind w:firstLine="0" w:left="318"/>
              <w:jc w:val="left"/>
            </w:pPr>
          </w:p>
          <w:p w14:paraId="41000000">
            <w:pPr>
              <w:pStyle w:val="Style_5"/>
              <w:ind w:firstLine="0" w:left="318"/>
              <w:jc w:val="left"/>
            </w:pPr>
          </w:p>
          <w:p w14:paraId="42000000">
            <w:pPr>
              <w:pStyle w:val="Style_5"/>
              <w:ind w:firstLine="0" w:left="318"/>
              <w:jc w:val="left"/>
            </w:pPr>
          </w:p>
          <w:p w14:paraId="43000000">
            <w:pPr>
              <w:pStyle w:val="Style_5"/>
              <w:ind w:firstLine="0" w:left="318"/>
              <w:jc w:val="left"/>
            </w:pPr>
          </w:p>
          <w:p w14:paraId="44000000">
            <w:pPr>
              <w:pStyle w:val="Style_5"/>
              <w:ind w:firstLine="0" w:left="318"/>
              <w:jc w:val="left"/>
            </w:pPr>
          </w:p>
          <w:p w14:paraId="45000000">
            <w:pPr>
              <w:pStyle w:val="Style_5"/>
              <w:ind w:firstLine="0" w:left="318"/>
              <w:jc w:val="left"/>
            </w:pPr>
          </w:p>
          <w:p w14:paraId="46000000">
            <w:pPr>
              <w:pStyle w:val="Style_5"/>
              <w:ind w:firstLine="0" w:left="318"/>
              <w:jc w:val="left"/>
            </w:pPr>
          </w:p>
          <w:p w14:paraId="47000000">
            <w:pPr>
              <w:pStyle w:val="Style_5"/>
              <w:ind w:firstLine="0" w:left="318"/>
              <w:jc w:val="left"/>
            </w:pPr>
          </w:p>
          <w:p w14:paraId="48000000">
            <w:pPr>
              <w:pStyle w:val="Style_5"/>
              <w:ind w:firstLine="0" w:left="318"/>
              <w:jc w:val="left"/>
            </w:pPr>
          </w:p>
          <w:p w14:paraId="49000000">
            <w:pPr>
              <w:pStyle w:val="Style_5"/>
              <w:ind w:firstLine="0" w:left="318"/>
              <w:jc w:val="left"/>
            </w:pPr>
          </w:p>
          <w:p w14:paraId="4A000000">
            <w:pPr>
              <w:pStyle w:val="Style_5"/>
              <w:ind w:firstLine="0" w:left="3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Министр </w:t>
            </w:r>
            <w:r>
              <w:rPr>
                <w:sz w:val="24"/>
              </w:rPr>
              <w:t>имущественных</w:t>
            </w:r>
            <w:r>
              <w:rPr>
                <w:sz w:val="24"/>
              </w:rPr>
              <w:t xml:space="preserve"> и </w:t>
            </w:r>
          </w:p>
          <w:p w14:paraId="4B000000">
            <w:pPr>
              <w:pStyle w:val="Style_5"/>
              <w:ind w:firstLine="0" w:left="3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земельных отношений, финансового оздоровления предприятий, </w:t>
            </w:r>
          </w:p>
          <w:p w14:paraId="4C000000">
            <w:pPr>
              <w:pStyle w:val="Style_5"/>
              <w:ind w:firstLine="0" w:left="318"/>
              <w:jc w:val="left"/>
            </w:pPr>
            <w:r>
              <w:rPr>
                <w:sz w:val="24"/>
              </w:rPr>
              <w:t>организаций Ростовской области</w:t>
            </w:r>
          </w:p>
        </w:tc>
        <w:tc>
          <w:tcPr>
            <w:tcW w:type="dxa" w:w="5388"/>
          </w:tcPr>
          <w:p w14:paraId="4D000000">
            <w:pPr>
              <w:pStyle w:val="Style_5"/>
              <w:ind/>
              <w:jc w:val="right"/>
            </w:pPr>
          </w:p>
          <w:p w14:paraId="4E000000">
            <w:pPr>
              <w:pStyle w:val="Style_5"/>
              <w:ind/>
              <w:jc w:val="right"/>
            </w:pPr>
          </w:p>
          <w:p w14:paraId="4F000000">
            <w:pPr>
              <w:pStyle w:val="Style_5"/>
              <w:ind/>
              <w:jc w:val="right"/>
            </w:pPr>
          </w:p>
          <w:p w14:paraId="50000000">
            <w:pPr>
              <w:pStyle w:val="Style_5"/>
              <w:ind/>
              <w:jc w:val="right"/>
            </w:pPr>
          </w:p>
          <w:p w14:paraId="51000000">
            <w:pPr>
              <w:pStyle w:val="Style_5"/>
              <w:ind/>
              <w:jc w:val="right"/>
            </w:pPr>
          </w:p>
          <w:p w14:paraId="52000000">
            <w:pPr>
              <w:pStyle w:val="Style_5"/>
              <w:ind/>
              <w:jc w:val="right"/>
            </w:pPr>
          </w:p>
          <w:p w14:paraId="53000000">
            <w:pPr>
              <w:pStyle w:val="Style_5"/>
              <w:ind/>
              <w:jc w:val="right"/>
            </w:pPr>
          </w:p>
          <w:p w14:paraId="54000000">
            <w:pPr>
              <w:pStyle w:val="Style_5"/>
              <w:ind/>
              <w:jc w:val="right"/>
            </w:pPr>
          </w:p>
          <w:p w14:paraId="55000000">
            <w:pPr>
              <w:pStyle w:val="Style_5"/>
              <w:ind/>
              <w:jc w:val="right"/>
            </w:pPr>
          </w:p>
          <w:p w14:paraId="56000000">
            <w:pPr>
              <w:pStyle w:val="Style_5"/>
              <w:ind/>
              <w:jc w:val="right"/>
            </w:pPr>
          </w:p>
          <w:p w14:paraId="57000000">
            <w:pPr>
              <w:pStyle w:val="Style_5"/>
              <w:ind/>
              <w:jc w:val="right"/>
            </w:pPr>
          </w:p>
          <w:p w14:paraId="58000000">
            <w:pPr>
              <w:pStyle w:val="Style_5"/>
              <w:ind/>
              <w:jc w:val="right"/>
            </w:pPr>
          </w:p>
          <w:p w14:paraId="59000000">
            <w:pPr>
              <w:pStyle w:val="Style_5"/>
              <w:ind/>
              <w:jc w:val="right"/>
            </w:pPr>
          </w:p>
          <w:p w14:paraId="5A000000">
            <w:pPr>
              <w:pStyle w:val="Style_5"/>
              <w:ind/>
              <w:jc w:val="right"/>
            </w:pPr>
          </w:p>
          <w:p w14:paraId="5B000000">
            <w:pPr>
              <w:pStyle w:val="Style_5"/>
              <w:ind/>
              <w:jc w:val="right"/>
            </w:pPr>
          </w:p>
          <w:p w14:paraId="5C000000">
            <w:pPr>
              <w:pStyle w:val="Style_5"/>
              <w:ind/>
              <w:jc w:val="right"/>
            </w:pPr>
          </w:p>
          <w:p w14:paraId="5D000000">
            <w:pPr>
              <w:pStyle w:val="Style_5"/>
              <w:ind/>
              <w:jc w:val="right"/>
            </w:pPr>
          </w:p>
          <w:p w14:paraId="5E000000">
            <w:pPr>
              <w:pStyle w:val="Style_5"/>
              <w:ind/>
              <w:jc w:val="right"/>
            </w:pPr>
          </w:p>
          <w:p w14:paraId="5F000000">
            <w:pPr>
              <w:pStyle w:val="Style_5"/>
              <w:ind/>
              <w:jc w:val="right"/>
            </w:pPr>
          </w:p>
          <w:p w14:paraId="60000000">
            <w:pPr>
              <w:pStyle w:val="Style_5"/>
              <w:ind/>
              <w:jc w:val="right"/>
            </w:pPr>
          </w:p>
          <w:p w14:paraId="61000000">
            <w:pPr>
              <w:pStyle w:val="Style_5"/>
              <w:ind/>
              <w:jc w:val="right"/>
            </w:pPr>
          </w:p>
          <w:p w14:paraId="62000000">
            <w:pPr>
              <w:pStyle w:val="Style_5"/>
              <w:ind/>
              <w:jc w:val="right"/>
            </w:pPr>
          </w:p>
          <w:p w14:paraId="63000000">
            <w:pPr>
              <w:pStyle w:val="Style_5"/>
              <w:ind/>
              <w:jc w:val="right"/>
            </w:pPr>
          </w:p>
          <w:p w14:paraId="64000000">
            <w:pPr>
              <w:pStyle w:val="Style_5"/>
              <w:ind/>
              <w:jc w:val="right"/>
            </w:pPr>
          </w:p>
          <w:p w14:paraId="65000000">
            <w:pPr>
              <w:pStyle w:val="Style_5"/>
              <w:ind/>
              <w:jc w:val="right"/>
            </w:pPr>
          </w:p>
          <w:p w14:paraId="66000000">
            <w:pPr>
              <w:pStyle w:val="Style_5"/>
              <w:ind/>
              <w:jc w:val="right"/>
            </w:pPr>
          </w:p>
          <w:p w14:paraId="67000000">
            <w:pPr>
              <w:pStyle w:val="Style_5"/>
              <w:ind/>
              <w:jc w:val="right"/>
            </w:pPr>
          </w:p>
          <w:p w14:paraId="68000000">
            <w:pPr>
              <w:pStyle w:val="Style_5"/>
              <w:ind/>
              <w:jc w:val="right"/>
            </w:pPr>
          </w:p>
          <w:p w14:paraId="69000000">
            <w:pPr>
              <w:pStyle w:val="Style_5"/>
              <w:ind/>
              <w:jc w:val="right"/>
              <w:rPr>
                <w:sz w:val="24"/>
              </w:rPr>
            </w:pPr>
          </w:p>
          <w:p w14:paraId="6A000000">
            <w:pPr>
              <w:pStyle w:val="Style_5"/>
              <w:ind/>
              <w:jc w:val="right"/>
              <w:rPr>
                <w:sz w:val="24"/>
              </w:rPr>
            </w:pPr>
          </w:p>
          <w:p w14:paraId="6B000000">
            <w:pPr>
              <w:pStyle w:val="Style_5"/>
              <w:ind/>
              <w:jc w:val="right"/>
              <w:rPr>
                <w:sz w:val="24"/>
              </w:rPr>
            </w:pPr>
          </w:p>
          <w:p w14:paraId="6C000000">
            <w:pPr>
              <w:pStyle w:val="Style_5"/>
              <w:ind/>
              <w:jc w:val="right"/>
            </w:pPr>
            <w:r>
              <w:rPr>
                <w:sz w:val="24"/>
              </w:rPr>
              <w:t xml:space="preserve">Е.В. </w:t>
            </w:r>
            <w:r>
              <w:rPr>
                <w:sz w:val="24"/>
              </w:rPr>
              <w:t>Осыченко</w:t>
            </w:r>
          </w:p>
        </w:tc>
      </w:tr>
      <w:tr>
        <w:tc>
          <w:tcPr>
            <w:tcW w:type="dxa" w:w="4961"/>
          </w:tcPr>
          <w:p w14:paraId="6D000000">
            <w:pPr>
              <w:pStyle w:val="Style_5"/>
              <w:ind w:firstLine="0" w:left="318"/>
              <w:jc w:val="left"/>
            </w:pPr>
          </w:p>
        </w:tc>
        <w:tc>
          <w:tcPr>
            <w:tcW w:type="dxa" w:w="5388"/>
          </w:tcPr>
          <w:p w14:paraId="6E000000">
            <w:pPr>
              <w:pStyle w:val="Style_5"/>
              <w:ind/>
              <w:jc w:val="right"/>
            </w:pPr>
          </w:p>
        </w:tc>
      </w:tr>
    </w:tbl>
    <w:p w14:paraId="6F000000">
      <w:pPr>
        <w:ind/>
        <w:jc w:val="both"/>
        <w:rPr>
          <w:sz w:val="28"/>
        </w:rPr>
      </w:pPr>
    </w:p>
    <w:sectPr>
      <w:pgSz w:h="16838" w:orient="portrait" w:w="11905"/>
      <w:pgMar w:bottom="851" w:footer="0" w:gutter="0" w:header="0" w:left="1134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3" w:type="paragraph">
    <w:name w:val="heading 3"/>
    <w:basedOn w:val="Style_6"/>
    <w:next w:val="Style_6"/>
    <w:link w:val="Style_3_ch"/>
    <w:uiPriority w:val="9"/>
    <w:qFormat/>
    <w:pPr>
      <w:keepNext w:val="1"/>
      <w:ind/>
      <w:jc w:val="right"/>
      <w:outlineLvl w:val="2"/>
    </w:pPr>
    <w:rPr>
      <w:sz w:val="28"/>
    </w:rPr>
  </w:style>
  <w:style w:styleId="Style_3_ch" w:type="character">
    <w:name w:val="heading 3"/>
    <w:basedOn w:val="Style_6_ch"/>
    <w:link w:val="Style_3"/>
    <w:rPr>
      <w:sz w:val="28"/>
    </w:rPr>
  </w:style>
  <w:style w:styleId="Style_5" w:type="paragraph">
    <w:name w:val="Body Text"/>
    <w:basedOn w:val="Style_6"/>
    <w:link w:val="Style_5_ch"/>
    <w:pPr>
      <w:ind/>
      <w:jc w:val="both"/>
    </w:pPr>
    <w:rPr>
      <w:color w:val="000000"/>
      <w:sz w:val="28"/>
    </w:rPr>
  </w:style>
  <w:style w:styleId="Style_5_ch" w:type="character">
    <w:name w:val="Body Text"/>
    <w:basedOn w:val="Style_6_ch"/>
    <w:link w:val="Style_5"/>
    <w:rPr>
      <w:color w:val="000000"/>
      <w:sz w:val="28"/>
    </w:rPr>
  </w:style>
  <w:style w:styleId="Style_4" w:type="paragraph">
    <w:name w:val="ConsPlusNormal"/>
    <w:link w:val="Style_4_ch"/>
    <w:rPr>
      <w:sz w:val="28"/>
    </w:rPr>
  </w:style>
  <w:style w:styleId="Style_4_ch" w:type="character">
    <w:name w:val="ConsPlusNormal"/>
    <w:link w:val="Style_4"/>
    <w:rPr>
      <w:sz w:val="28"/>
    </w:rPr>
  </w:style>
  <w:style w:styleId="Style_12" w:type="paragraph">
    <w:name w:val="toc 3"/>
    <w:next w:val="Style_6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Balloon Text"/>
    <w:basedOn w:val="Style_6"/>
    <w:link w:val="Style_20_ch"/>
    <w:rPr>
      <w:rFonts w:ascii="Tahoma" w:hAnsi="Tahoma"/>
      <w:sz w:val="16"/>
    </w:rPr>
  </w:style>
  <w:style w:styleId="Style_20_ch" w:type="character">
    <w:name w:val="Balloon Text"/>
    <w:basedOn w:val="Style_6_ch"/>
    <w:link w:val="Style_20"/>
    <w:rPr>
      <w:rFonts w:ascii="Tahoma" w:hAnsi="Tahoma"/>
      <w:sz w:val="16"/>
    </w:rPr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6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List Paragraph"/>
    <w:basedOn w:val="Style_6"/>
    <w:link w:val="Style_24_ch"/>
    <w:pPr>
      <w:ind w:firstLine="0" w:left="720"/>
      <w:contextualSpacing w:val="1"/>
    </w:pPr>
  </w:style>
  <w:style w:styleId="Style_24_ch" w:type="character">
    <w:name w:val="List Paragraph"/>
    <w:basedOn w:val="Style_6_ch"/>
    <w:link w:val="Style_24"/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" w:type="paragraph">
    <w:name w:val="Title"/>
    <w:basedOn w:val="Style_6"/>
    <w:link w:val="Style_2_ch"/>
    <w:uiPriority w:val="10"/>
    <w:qFormat/>
    <w:pPr>
      <w:ind/>
      <w:jc w:val="center"/>
    </w:pPr>
    <w:rPr>
      <w:sz w:val="28"/>
    </w:rPr>
  </w:style>
  <w:style w:styleId="Style_2_ch" w:type="character">
    <w:name w:val="Title"/>
    <w:basedOn w:val="Style_6_ch"/>
    <w:link w:val="Style_2"/>
    <w:rPr>
      <w:sz w:val="28"/>
    </w:rPr>
  </w:style>
  <w:style w:styleId="Style_26" w:type="paragraph">
    <w:name w:val="heading 4"/>
    <w:next w:val="Style_6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6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2024-03-06T11:46:23Z</dcterms:modified>
</cp:coreProperties>
</file>