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Ind w:type="dxa" w:w="-1082"/>
        <w:tblLayout w:type="fixed"/>
      </w:tblPr>
      <w:tblGrid>
        <w:gridCol w:w="10834"/>
      </w:tblGrid>
      <w:tr>
        <w:tc>
          <w:tcPr>
            <w:tcW w:type="dxa" w:w="10834"/>
          </w:tcPr>
          <w:p w14:paraId="03000000">
            <w:pPr>
              <w:spacing w:after="0" w:line="240" w:lineRule="auto"/>
              <w:ind w:firstLine="0" w:left="581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</w:t>
            </w:r>
          </w:p>
          <w:p w14:paraId="0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34"/>
          </w:tcPr>
          <w:p w14:paraId="05000000">
            <w:pPr>
              <w:spacing w:after="0" w:line="240" w:lineRule="auto"/>
              <w:ind w:firstLine="7306" w:left="-7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Внесен временно исполняющим </w:t>
            </w:r>
          </w:p>
          <w:p w14:paraId="06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обязанности Губернатора </w:t>
            </w:r>
          </w:p>
          <w:p w14:paraId="07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Ростовской области</w:t>
            </w:r>
          </w:p>
        </w:tc>
      </w:tr>
      <w:tr>
        <w:tc>
          <w:tcPr>
            <w:tcW w:type="dxa" w:w="10834"/>
          </w:tcPr>
          <w:p w14:paraId="08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Подготовлен министерством </w:t>
            </w:r>
          </w:p>
          <w:p w14:paraId="09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имущественных и земельных </w:t>
            </w:r>
          </w:p>
          <w:p w14:paraId="0A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отношений, финансового </w:t>
            </w:r>
          </w:p>
          <w:p w14:paraId="0B000000">
            <w:pPr>
              <w:spacing w:after="0" w:line="240" w:lineRule="auto"/>
              <w:ind w:firstLine="7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оздоровления предприятий, </w:t>
            </w:r>
          </w:p>
          <w:p w14:paraId="0C000000">
            <w:pPr>
              <w:spacing w:after="0" w:line="240" w:lineRule="auto"/>
              <w:ind w:firstLine="722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организаций Ростовской области</w:t>
            </w:r>
          </w:p>
        </w:tc>
      </w:tr>
    </w:tbl>
    <w:p w14:paraId="0D000000">
      <w:pPr>
        <w:tabs>
          <w:tab w:leader="none" w:pos="0" w:val="left"/>
          <w:tab w:leader="none" w:pos="737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E000000">
      <w:pPr>
        <w:tabs>
          <w:tab w:leader="none" w:pos="0" w:val="left"/>
          <w:tab w:leader="none" w:pos="737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F000000">
      <w:pPr>
        <w:tabs>
          <w:tab w:leader="none" w:pos="0" w:val="left"/>
          <w:tab w:leader="none" w:pos="737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ОБЛАСТНОЙ ЗАКОН</w:t>
      </w:r>
    </w:p>
    <w:p w14:paraId="10000000">
      <w:pPr>
        <w:tabs>
          <w:tab w:leader="none" w:pos="0" w:val="left"/>
          <w:tab w:leader="none" w:pos="737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1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ИЗМЕНЕНИЙ В СТАТЬИ 4 И 5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</w:t>
      </w: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АРЕНДУ БЕЗ ПРОВЕДЕНИЯ ТОРГОВ»</w:t>
      </w:r>
    </w:p>
    <w:p w14:paraId="13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14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15000000">
      <w:pPr>
        <w:tabs>
          <w:tab w:leader="none" w:pos="198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</w:t>
      </w:r>
      <w:r>
        <w:rPr>
          <w:rFonts w:ascii="Times New Roman" w:hAnsi="Times New Roman"/>
          <w:b w:val="1"/>
          <w:sz w:val="28"/>
        </w:rPr>
        <w:t>Принят</w:t>
      </w:r>
    </w:p>
    <w:p w14:paraId="16000000">
      <w:pPr>
        <w:tabs>
          <w:tab w:leader="none" w:pos="1985" w:val="left"/>
          <w:tab w:leader="none" w:pos="3969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Законодательным Собранием     </w:t>
      </w:r>
      <w:r>
        <w:rPr>
          <w:rFonts w:ascii="Times New Roman" w:hAnsi="Times New Roman"/>
          <w:b w:val="1"/>
          <w:sz w:val="28"/>
        </w:rPr>
        <w:t xml:space="preserve">                             </w:t>
      </w:r>
      <w:r>
        <w:rPr>
          <w:rFonts w:ascii="Times New Roman" w:hAnsi="Times New Roman"/>
          <w:b w:val="1"/>
          <w:sz w:val="28"/>
        </w:rPr>
        <w:t xml:space="preserve">  «____»_________ 20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 xml:space="preserve"> года</w:t>
      </w:r>
    </w:p>
    <w:p w14:paraId="17000000">
      <w:pPr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</w:p>
    <w:p w14:paraId="18000000">
      <w:pPr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</w:p>
    <w:p w14:paraId="19000000">
      <w:pPr>
        <w:spacing w:after="0" w:line="240" w:lineRule="auto"/>
        <w:ind w:firstLine="851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A000000">
      <w:pPr>
        <w:tabs>
          <w:tab w:leader="none" w:pos="4820" w:val="left"/>
        </w:tabs>
        <w:spacing w:after="0" w:line="240" w:lineRule="auto"/>
        <w:ind w:firstLine="851" w:left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Областной закон от 25 февраля 2015 года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312-ЗС «О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торгов» следующие изменения:</w:t>
      </w:r>
    </w:p>
    <w:p w14:paraId="1B000000">
      <w:pPr>
        <w:pStyle w:val="Style_3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подпункт «а» пункта 1 части 7 статьи 4 изложить в следующей редакции:</w:t>
      </w:r>
    </w:p>
    <w:p w14:paraId="1C000000">
      <w:pPr>
        <w:pStyle w:val="Style_3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«а)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строительство многоквартирных домов, общая площадь жилых помещений в которых составляет не менее 300 тысяч квадратных метров.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 При этом допускается размещение нежилых помещений в многоквартирных домах, в том числе встроенных и (или) пристроенных, а также строительство отдельно стоящих нежилых зданий и сооружений.</w:t>
      </w:r>
    </w:p>
    <w:p w14:paraId="1D000000">
      <w:pPr>
        <w:pStyle w:val="Style_3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Инвестиционный проект должен предусматривать обязательство инвестора разработать документацию </w:t>
      </w:r>
      <w:r>
        <w:rPr>
          <w:rFonts w:ascii="Times New Roman" w:hAnsi="Times New Roman"/>
          <w:sz w:val="28"/>
        </w:rPr>
        <w:t>по планировке территории, в границах которой располагается испрашиваемый земельный участок (земельные участки).</w:t>
      </w:r>
    </w:p>
    <w:p w14:paraId="1E000000">
      <w:pPr>
        <w:spacing w:after="0" w:line="240" w:lineRule="auto"/>
        <w:ind w:firstLine="708" w:left="0"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</w:rPr>
        <w:t xml:space="preserve">В случае если обеспеченность населения предлагаемой к застройке территории дошкольными образовательными и общеобразовательными организациями, поликлиниками менее установленных нормативами градостроительного проектирования поселения, городского округа расчетных показателей уровня обеспеченности данными объектами и уровня </w:t>
      </w:r>
      <w:r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  <w:sz w:val="28"/>
        </w:rPr>
        <w:t xml:space="preserve">их территориальной доступности, инвестиционный проект должен предусматривать обязательство инвестора построить соответствующие объекты, </w:t>
      </w:r>
      <w:r>
        <w:rPr>
          <w:rFonts w:ascii="Times New Roman" w:hAnsi="Times New Roman"/>
          <w:sz w:val="28"/>
        </w:rPr>
        <w:t xml:space="preserve">обеспечивающие создание не менее 100 процентов необходимых мест </w:t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в дошкольных образовательных организациях и поликлиниках и не менее </w:t>
      </w:r>
      <w:r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>50 процентов необходимых мест в общеобразовательных организациях, а также подготовить проектную документацию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в отношении объектов среднего общего образования, обеспечивающих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создание 100 процентов необходимых мест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 в общеобразовательных организациях</w:t>
      </w:r>
      <w:r>
        <w:rPr>
          <w:rFonts w:ascii="Times New Roman" w:hAnsi="Times New Roman"/>
          <w:strike w:val="1"/>
          <w:sz w:val="28"/>
        </w:rPr>
        <w:t>.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Построенные объекты дошкольного и среднего общего образования, 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>а также получившая положительное заключение государственной экспертизы проектная документация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подлежат безвозмездной передаче в муниципальную собственность, а построенные объекты здравоохранения (поликлиники) - </w:t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>в государственную собственность Ростовской области.</w:t>
      </w:r>
    </w:p>
    <w:p w14:paraId="20000000">
      <w:pPr>
        <w:pStyle w:val="Style_3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инвестиционного проекта должна осуществляться на одном или нескольких земельных участках, расположенных в границах одного элемента планировочной структуры (квартал, микрорайон) или смежных элементов планировочной структуры (квартал, микрорайон)</w:t>
      </w:r>
      <w:r>
        <w:rPr>
          <w:rFonts w:ascii="Times New Roman" w:hAnsi="Times New Roman"/>
          <w:sz w:val="28"/>
        </w:rPr>
        <w:t>;»;</w:t>
      </w:r>
    </w:p>
    <w:p w14:paraId="21000000">
      <w:pPr>
        <w:pStyle w:val="Style_3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 часть 2</w:t>
      </w:r>
      <w:r>
        <w:rPr>
          <w:rFonts w:ascii="Times New Roman" w:hAnsi="Times New Roman"/>
          <w:sz w:val="28"/>
          <w:vertAlign w:val="superscript"/>
        </w:rPr>
        <w:t xml:space="preserve">2 </w:t>
      </w:r>
      <w:r>
        <w:rPr>
          <w:rFonts w:ascii="Times New Roman" w:hAnsi="Times New Roman"/>
          <w:sz w:val="28"/>
        </w:rPr>
        <w:t xml:space="preserve"> статьи 5 </w:t>
      </w:r>
      <w:r>
        <w:rPr>
          <w:rFonts w:ascii="Times New Roman" w:hAnsi="Times New Roman"/>
          <w:sz w:val="28"/>
        </w:rPr>
        <w:t>изложить в следующей редакции:</w:t>
      </w:r>
    </w:p>
    <w:p w14:paraId="2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>. В решении о соответствии масштабного инвестиционного проекта</w:t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в сфере жилищного строительства,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"https://login.consultant.ru/link/?req=doc&amp;base=RLAW186&amp;n=143939&amp;dst=100111"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«а» пункта 1 части 7 статьи 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настоящего Областного закона, критериям, установленным настоящим Областным законом, и о предоставлении юридическому лицу земельного участка (земельных участков) в аренду без проведения торгов предусматривается перечень и параметры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объектов дошкольного и среднего общего образования, здравоохранения (поликлиник), подлежащих строительству при реализации инвестиционного проекта, а также указание о подготовке соответствующей проектной документации.».</w:t>
      </w:r>
    </w:p>
    <w:p w14:paraId="23000000">
      <w:pPr>
        <w:tabs>
          <w:tab w:leader="none" w:pos="8505" w:val="left"/>
        </w:tabs>
        <w:spacing w:after="0" w:line="240" w:lineRule="auto"/>
        <w:ind w:firstLine="720" w:left="0"/>
        <w:jc w:val="both"/>
        <w:outlineLvl w:val="0"/>
        <w:rPr>
          <w:rFonts w:ascii="Times New Roman" w:hAnsi="Times New Roman"/>
          <w:b w:val="1"/>
          <w:sz w:val="28"/>
        </w:rPr>
      </w:pPr>
    </w:p>
    <w:p w14:paraId="24000000">
      <w:pPr>
        <w:tabs>
          <w:tab w:leader="none" w:pos="8505" w:val="left"/>
        </w:tabs>
        <w:spacing w:after="0" w:line="240" w:lineRule="auto"/>
        <w:ind w:firstLine="720" w:left="0"/>
        <w:jc w:val="both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Статья </w:t>
      </w:r>
      <w:r>
        <w:rPr>
          <w:rFonts w:ascii="Times New Roman" w:hAnsi="Times New Roman"/>
          <w:b w:val="1"/>
          <w:sz w:val="28"/>
        </w:rPr>
        <w:t>2</w:t>
      </w:r>
    </w:p>
    <w:p w14:paraId="25000000">
      <w:pPr>
        <w:spacing w:after="0" w:line="240" w:lineRule="auto"/>
        <w:ind w:firstLine="709" w:left="0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14:paraId="26000000">
      <w:pPr>
        <w:spacing w:after="0" w:line="240" w:lineRule="auto"/>
        <w:ind w:firstLine="709" w:left="0"/>
        <w:contextualSpacing w:val="1"/>
        <w:jc w:val="both"/>
        <w:outlineLvl w:val="0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709" w:left="0"/>
        <w:contextualSpacing w:val="1"/>
        <w:jc w:val="both"/>
        <w:outlineLvl w:val="0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firstLine="540" w:left="0"/>
        <w:jc w:val="both"/>
        <w:outlineLvl w:val="0"/>
        <w:rPr>
          <w:rFonts w:ascii="Times New Roman" w:hAnsi="Times New Roman"/>
          <w:sz w:val="28"/>
        </w:rPr>
      </w:pPr>
    </w:p>
    <w:tbl>
      <w:tblPr>
        <w:tblStyle w:val="Style_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353"/>
        <w:gridCol w:w="1985"/>
        <w:gridCol w:w="2630"/>
      </w:tblGrid>
      <w:tr>
        <w:tc>
          <w:tcPr>
            <w:tcW w:type="dxa" w:w="535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Временно исполняющий обязанности</w:t>
            </w:r>
          </w:p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Губернатора Ростовской области</w:t>
            </w:r>
          </w:p>
        </w:tc>
        <w:tc>
          <w:tcPr>
            <w:tcW w:type="dxa" w:w="198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3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</w:p>
          <w:p w14:paraId="2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Ю.Б. Слюсарь</w:t>
            </w:r>
          </w:p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F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30000000">
      <w:pPr>
        <w:spacing w:after="0" w:line="240" w:lineRule="auto"/>
        <w:ind/>
        <w:rPr>
          <w:rFonts w:ascii="Times New Roman" w:hAnsi="Times New Roman"/>
        </w:rPr>
      </w:pPr>
    </w:p>
    <w:p w14:paraId="31000000">
      <w:pPr>
        <w:spacing w:after="0" w:line="240" w:lineRule="auto"/>
        <w:ind/>
        <w:rPr>
          <w:rFonts w:ascii="Times New Roman" w:hAnsi="Times New Roman"/>
        </w:rPr>
      </w:pPr>
    </w:p>
    <w:p w14:paraId="32000000">
      <w:pPr>
        <w:spacing w:after="0" w:line="240" w:lineRule="auto"/>
        <w:ind/>
        <w:rPr>
          <w:rFonts w:ascii="Times New Roman" w:hAnsi="Times New Roman"/>
        </w:rPr>
      </w:pPr>
    </w:p>
    <w:p w14:paraId="33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3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                        </w:t>
      </w:r>
      <w:r>
        <w:rPr>
          <w:rFonts w:ascii="Times New Roman" w:hAnsi="Times New Roman"/>
          <w:sz w:val="24"/>
        </w:rPr>
        <w:t xml:space="preserve">     </w:t>
      </w:r>
    </w:p>
    <w:tbl>
      <w:tblPr>
        <w:tblStyle w:val="Style_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353"/>
        <w:gridCol w:w="2268"/>
        <w:gridCol w:w="2347"/>
      </w:tblGrid>
      <w:tr>
        <w:tc>
          <w:tcPr>
            <w:tcW w:type="dxa" w:w="535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Исполняющий обязанности</w:t>
            </w:r>
          </w:p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министра имущественных и земельных</w:t>
            </w:r>
          </w:p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отношений, финансового оздоровления</w:t>
            </w:r>
          </w:p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предприятий, организаций  Ростовской области</w:t>
            </w:r>
          </w:p>
        </w:tc>
        <w:tc>
          <w:tcPr>
            <w:tcW w:type="dxa" w:w="226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F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С.А. Хлудин</w:t>
            </w:r>
          </w:p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41000000">
      <w:pPr>
        <w:spacing w:after="0" w:line="240" w:lineRule="auto"/>
        <w:ind/>
        <w:rPr>
          <w:rFonts w:ascii="Times New Roman" w:hAnsi="Times New Roman"/>
        </w:rPr>
      </w:pPr>
    </w:p>
    <w:sectPr>
      <w:headerReference r:id="rId1" w:type="default"/>
      <w:pgSz w:h="16840" w:orient="portrait" w:w="11907"/>
      <w:pgMar w:bottom="426" w:footer="720" w:gutter="0" w:header="720" w:left="1304" w:right="851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ind/>
    </w:pPr>
    <w:rPr>
      <w:sz w:val="22"/>
    </w:rPr>
  </w:style>
  <w:style w:styleId="Style_4_ch" w:type="character">
    <w:name w:val="ConsPlusNormal"/>
    <w:link w:val="Style_4"/>
    <w:rPr>
      <w:sz w:val="22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3" w:type="paragraph">
    <w:name w:val="List Paragraph"/>
    <w:basedOn w:val="Style_6"/>
    <w:link w:val="Style_3_ch"/>
    <w:pPr>
      <w:ind w:firstLine="0" w:left="720"/>
      <w:contextualSpacing w:val="1"/>
    </w:pPr>
  </w:style>
  <w:style w:styleId="Style_3_ch" w:type="character">
    <w:name w:val="List Paragraph"/>
    <w:basedOn w:val="Style_6_ch"/>
    <w:link w:val="Style_3"/>
  </w:style>
  <w:style w:styleId="Style_11" w:type="paragraph">
    <w:name w:val="ConsPlusTitle"/>
    <w:link w:val="Style_11_ch"/>
    <w:pPr>
      <w:widowControl w:val="0"/>
      <w:ind/>
    </w:pPr>
    <w:rPr>
      <w:rFonts w:ascii="Times New Roman" w:hAnsi="Times New Roman"/>
      <w:b w:val="1"/>
      <w:sz w:val="24"/>
    </w:rPr>
  </w:style>
  <w:style w:styleId="Style_11_ch" w:type="character">
    <w:name w:val="ConsPlusTitle"/>
    <w:link w:val="Style_11"/>
    <w:rPr>
      <w:rFonts w:ascii="Times New Roman" w:hAnsi="Times New Roman"/>
      <w:b w:val="1"/>
      <w:sz w:val="24"/>
    </w:rPr>
  </w:style>
  <w:style w:styleId="Style_12" w:type="paragraph">
    <w:name w:val="Body Text Indent"/>
    <w:basedOn w:val="Style_6"/>
    <w:link w:val="Style_12_ch"/>
    <w:pPr>
      <w:spacing w:after="0" w:line="240" w:lineRule="auto"/>
      <w:ind w:firstLine="567" w:left="0"/>
    </w:pPr>
    <w:rPr>
      <w:rFonts w:ascii="Times New Roman" w:hAnsi="Times New Roman"/>
      <w:sz w:val="28"/>
    </w:rPr>
  </w:style>
  <w:style w:styleId="Style_12_ch" w:type="character">
    <w:name w:val="Body Text Indent"/>
    <w:basedOn w:val="Style_6_ch"/>
    <w:link w:val="Style_12"/>
    <w:rPr>
      <w:rFonts w:ascii="Times New Roman" w:hAnsi="Times New Roman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ConsPlusTitlePage"/>
    <w:link w:val="Style_18_ch"/>
    <w:pPr>
      <w:widowControl w:val="0"/>
      <w:ind/>
    </w:pPr>
    <w:rPr>
      <w:rFonts w:ascii="Tahoma" w:hAnsi="Tahoma"/>
    </w:rPr>
  </w:style>
  <w:style w:styleId="Style_18_ch" w:type="character">
    <w:name w:val="ConsPlusTitlePage"/>
    <w:link w:val="Style_18"/>
    <w:rPr>
      <w:rFonts w:ascii="Tahoma" w:hAnsi="Tahoma"/>
    </w:rPr>
  </w:style>
  <w:style w:styleId="Style_19" w:type="paragraph">
    <w:name w:val="heading 1"/>
    <w:next w:val="Style_6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6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No Spacing"/>
    <w:link w:val="Style_25_ch"/>
    <w:rPr>
      <w:sz w:val="22"/>
    </w:rPr>
  </w:style>
  <w:style w:styleId="Style_25_ch" w:type="character">
    <w:name w:val="No Spacing"/>
    <w:link w:val="Style_25"/>
    <w:rPr>
      <w:sz w:val="22"/>
    </w:rPr>
  </w:style>
  <w:style w:styleId="Style_26" w:type="paragraph">
    <w:name w:val="toc 8"/>
    <w:next w:val="Style_6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6_ch"/>
    <w:link w:val="Style_1"/>
    <w:rPr>
      <w:rFonts w:ascii="Times New Roman" w:hAnsi="Times New Roman"/>
      <w:sz w:val="24"/>
    </w:rPr>
  </w:style>
  <w:style w:styleId="Style_27" w:type="paragraph">
    <w:name w:val="toc 5"/>
    <w:next w:val="Style_6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6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5" w:type="table">
    <w:name w:val="Table Grid"/>
    <w:basedOn w:val="Style_2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2025-05-06T07:32:47Z</dcterms:modified>
</cp:coreProperties>
</file>