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tabs>
          <w:tab w:leader="none" w:pos="6840" w:val="left"/>
          <w:tab w:leader="none" w:pos="8460" w:val="left"/>
        </w:tabs>
        <w:ind w:right="-2"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ПРОЕКТ</w:t>
      </w:r>
    </w:p>
    <w:p w14:paraId="04000000">
      <w:pPr>
        <w:pStyle w:val="Style_2"/>
        <w:widowControl w:val="1"/>
        <w:tabs>
          <w:tab w:leader="none" w:pos="6840" w:val="left"/>
          <w:tab w:leader="none" w:pos="8460" w:val="left"/>
        </w:tabs>
        <w:ind w:right="-2"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ко второму чтению </w:t>
      </w:r>
    </w:p>
    <w:p w14:paraId="05000000">
      <w:pPr>
        <w:pStyle w:val="Style_2"/>
        <w:widowControl w:val="1"/>
        <w:ind/>
        <w:rPr>
          <w:rFonts w:ascii="Times New Roman" w:hAnsi="Times New Roman"/>
          <w:b w:val="0"/>
          <w:sz w:val="28"/>
        </w:rPr>
      </w:pPr>
    </w:p>
    <w:p w14:paraId="06000000">
      <w:pPr>
        <w:pStyle w:val="Style_2"/>
        <w:widowControl w:val="1"/>
        <w:ind/>
        <w:rPr>
          <w:rFonts w:ascii="Times New Roman" w:hAnsi="Times New Roman"/>
          <w:b w:val="0"/>
          <w:sz w:val="28"/>
        </w:rPr>
      </w:pPr>
    </w:p>
    <w:p w14:paraId="07000000">
      <w:pPr>
        <w:pStyle w:val="Style_2"/>
        <w:widowControl w:val="1"/>
        <w:ind/>
        <w:rPr>
          <w:rFonts w:ascii="Times New Roman" w:hAnsi="Times New Roman"/>
          <w:b w:val="0"/>
          <w:sz w:val="28"/>
        </w:rPr>
      </w:pPr>
    </w:p>
    <w:p w14:paraId="08000000">
      <w:pPr>
        <w:pStyle w:val="Style_2"/>
        <w:widowControl w:val="1"/>
        <w:ind/>
        <w:jc w:val="center"/>
        <w:rPr>
          <w:rFonts w:ascii="Times New Roman" w:hAnsi="Times New Roman"/>
          <w:spacing w:val="60"/>
          <w:sz w:val="32"/>
        </w:rPr>
      </w:pPr>
      <w:r>
        <w:rPr>
          <w:rFonts w:ascii="Times New Roman" w:hAnsi="Times New Roman"/>
          <w:spacing w:val="60"/>
          <w:sz w:val="32"/>
        </w:rPr>
        <w:t>ОБЛАСТНОЙ ЗАКОН</w:t>
      </w:r>
    </w:p>
    <w:p w14:paraId="09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</w:p>
    <w:p w14:paraId="0A000000">
      <w:pPr>
        <w:tabs>
          <w:tab w:leader="none" w:pos="5954" w:val="left"/>
          <w:tab w:leader="none" w:pos="6096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ОБЛАСТНОЙ ЗАКОН «О СОЦИАЛЬНОЙ ПОДДЕРЖКЕ ДЕТСТВА В РОСТОВСКОЙ ОБЛАСТИ» </w:t>
      </w:r>
    </w:p>
    <w:p w14:paraId="0B000000">
      <w:pPr>
        <w:pStyle w:val="Style_3"/>
        <w:widowControl w:val="1"/>
        <w:ind w:firstLine="0" w:left="0"/>
        <w:jc w:val="center"/>
        <w:rPr>
          <w:rFonts w:ascii="Times New Roman" w:hAnsi="Times New Roman"/>
        </w:rPr>
      </w:pPr>
    </w:p>
    <w:p w14:paraId="0C000000">
      <w:pPr>
        <w:pStyle w:val="Style_3"/>
        <w:widowControl w:val="1"/>
        <w:ind w:firstLine="0" w:left="0"/>
        <w:jc w:val="center"/>
        <w:rPr>
          <w:rFonts w:ascii="Times New Roman" w:hAnsi="Times New Roman"/>
        </w:rPr>
      </w:pPr>
    </w:p>
    <w:p w14:paraId="0D000000">
      <w:pPr>
        <w:pStyle w:val="Style_3"/>
        <w:widowControl w:val="1"/>
        <w:ind w:firstLine="0" w:left="0"/>
        <w:jc w:val="center"/>
        <w:rPr>
          <w:rFonts w:ascii="Times New Roman" w:hAnsi="Times New Roman"/>
        </w:rPr>
      </w:pPr>
    </w:p>
    <w:p w14:paraId="0E000000">
      <w:pPr>
        <w:pStyle w:val="Style_3"/>
        <w:widowControl w:val="1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Принят</w:t>
      </w:r>
    </w:p>
    <w:p w14:paraId="0F000000">
      <w:pPr>
        <w:pStyle w:val="Style_3"/>
        <w:widowControl w:val="1"/>
        <w:tabs>
          <w:tab w:leader="none" w:pos="6840" w:val="left"/>
          <w:tab w:leader="none" w:pos="8280" w:val="left"/>
          <w:tab w:leader="none" w:pos="8460" w:val="left"/>
        </w:tabs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Законодательным Собранием                                           «___» _________2024 года</w:t>
      </w:r>
    </w:p>
    <w:p w14:paraId="10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8"/>
        </w:rPr>
      </w:pPr>
    </w:p>
    <w:p w14:paraId="11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8"/>
        </w:rPr>
      </w:pPr>
    </w:p>
    <w:p w14:paraId="12000000">
      <w:pPr>
        <w:spacing w:line="264" w:lineRule="auto"/>
        <w:ind w:firstLine="851" w:left="0"/>
        <w:jc w:val="both"/>
        <w:rPr>
          <w:b w:val="1"/>
          <w:sz w:val="28"/>
        </w:rPr>
      </w:pPr>
      <w:r>
        <w:rPr>
          <w:b w:val="1"/>
          <w:sz w:val="28"/>
        </w:rPr>
        <w:t>Статья 1</w:t>
      </w:r>
    </w:p>
    <w:p w14:paraId="13000000">
      <w:pPr>
        <w:spacing w:line="264" w:lineRule="auto"/>
        <w:ind w:firstLine="851" w:left="0"/>
        <w:jc w:val="both"/>
        <w:rPr>
          <w:b w:val="1"/>
          <w:sz w:val="28"/>
        </w:rPr>
      </w:pPr>
    </w:p>
    <w:p w14:paraId="14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Внести в Областной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"consultantplus://offline/ref=3CA17D16A5F185F524F3F1B848D6AC423AC40669420DF3151E1B2F9906A5B96F183B29BF698E0BC7FEDC338B10E35BC1D4bDI"</w:instrText>
      </w:r>
      <w:r>
        <w:rPr>
          <w:sz w:val="28"/>
        </w:rPr>
        <w:fldChar w:fldCharType="separate"/>
      </w:r>
      <w:r>
        <w:rPr>
          <w:sz w:val="28"/>
        </w:rPr>
        <w:t>закон</w:t>
      </w:r>
      <w:r>
        <w:rPr>
          <w:sz w:val="28"/>
        </w:rPr>
        <w:fldChar w:fldCharType="end"/>
      </w:r>
      <w:r>
        <w:rPr>
          <w:sz w:val="28"/>
        </w:rPr>
        <w:t xml:space="preserve"> от 22 октября 2004 года № 165-ЗС «О социальной поддержке детства в Ростовской области» следующие изменения:</w:t>
      </w:r>
    </w:p>
    <w:p w14:paraId="15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1) в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"https://login.consultant.ru/link/?req=doc&amp;base=RLAW186&amp;n=122374&amp;dst=100240"</w:instrText>
      </w:r>
      <w:r>
        <w:rPr>
          <w:sz w:val="28"/>
        </w:rPr>
        <w:fldChar w:fldCharType="separate"/>
      </w:r>
      <w:r>
        <w:rPr>
          <w:sz w:val="28"/>
        </w:rPr>
        <w:t>статье 13</w:t>
      </w:r>
      <w:r>
        <w:rPr>
          <w:sz w:val="28"/>
        </w:rPr>
        <w:fldChar w:fldCharType="end"/>
      </w:r>
      <w:r>
        <w:rPr>
          <w:sz w:val="28"/>
          <w:vertAlign w:val="superscript"/>
        </w:rPr>
        <w:t>2</w:t>
      </w:r>
      <w:r>
        <w:rPr>
          <w:sz w:val="28"/>
        </w:rPr>
        <w:t>:</w:t>
      </w:r>
    </w:p>
    <w:p w14:paraId="16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а) в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"https://login.consultant.ru/link/?req=doc&amp;base=RLAW186&amp;n=122374&amp;dst=31"</w:instrText>
      </w:r>
      <w:r>
        <w:rPr>
          <w:sz w:val="28"/>
        </w:rPr>
        <w:fldChar w:fldCharType="separate"/>
      </w:r>
      <w:r>
        <w:rPr>
          <w:sz w:val="28"/>
        </w:rPr>
        <w:t>пункте 6</w:t>
      </w:r>
      <w:r>
        <w:rPr>
          <w:sz w:val="28"/>
        </w:rPr>
        <w:fldChar w:fldCharType="end"/>
      </w:r>
      <w:r>
        <w:rPr>
          <w:sz w:val="28"/>
        </w:rPr>
        <w:t xml:space="preserve"> слова «(далее – государственные полномочия)» исключить;</w:t>
      </w:r>
    </w:p>
    <w:p w14:paraId="17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б) дополнить пунктом 7 следующего содержания:</w:t>
      </w:r>
    </w:p>
    <w:p w14:paraId="18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«7) по предоставлению дополнительных гарантий детям-сиротам и детям, оставшимся без попечения родителей, </w:t>
      </w:r>
      <w:r>
        <w:rPr>
          <w:b w:val="1"/>
          <w:sz w:val="28"/>
        </w:rPr>
        <w:t xml:space="preserve">лицам из числа детей-сирот и детей, оставшихся без попечения родителей, </w:t>
      </w:r>
      <w:r>
        <w:rPr>
          <w:sz w:val="28"/>
        </w:rPr>
        <w:t>в виде компенсации расходов на оплату жилищно-коммунальных услуг</w:t>
      </w:r>
      <w:r>
        <w:rPr>
          <w:b w:val="1"/>
          <w:sz w:val="28"/>
        </w:rPr>
        <w:t xml:space="preserve"> </w:t>
      </w:r>
      <w:r>
        <w:rPr>
          <w:sz w:val="28"/>
        </w:rPr>
        <w:t>(далее – государственные полномочия).»;</w:t>
      </w:r>
    </w:p>
    <w:p w14:paraId="19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2) в части 2 статьи 13</w:t>
      </w:r>
      <w:r>
        <w:rPr>
          <w:sz w:val="28"/>
          <w:vertAlign w:val="superscript"/>
        </w:rPr>
        <w:t>6</w:t>
      </w:r>
      <w:r>
        <w:rPr>
          <w:sz w:val="28"/>
        </w:rPr>
        <w:t>:</w:t>
      </w:r>
    </w:p>
    <w:p w14:paraId="1A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а) в пункте 1 слова «пунктах 2, 3, 4, 5 и 6» заменить словами «пунктах 2 - 7»;</w:t>
      </w:r>
    </w:p>
    <w:p w14:paraId="1B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б) в пункте 3 слова «пунктах 2, 3, 4, 5 и 6» заменить словами «пунктах 2 - 7»;</w:t>
      </w:r>
    </w:p>
    <w:p w14:paraId="1C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3)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"consultantplus://offline/ref=AB86106E35E50A4BFAF0628870A14E57509C2BB554559523705F344681C18BE2D92102250ED1562914B345D9412129B2b2c3I"</w:instrText>
      </w:r>
      <w:r>
        <w:rPr>
          <w:sz w:val="28"/>
        </w:rPr>
        <w:fldChar w:fldCharType="separate"/>
      </w:r>
      <w:r>
        <w:rPr>
          <w:sz w:val="28"/>
        </w:rPr>
        <w:t>дополнить</w:t>
      </w:r>
      <w:r>
        <w:rPr>
          <w:sz w:val="28"/>
        </w:rPr>
        <w:fldChar w:fldCharType="end"/>
      </w:r>
      <w:r>
        <w:rPr>
          <w:sz w:val="28"/>
        </w:rPr>
        <w:t xml:space="preserve"> статьей 15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следующего содержания:</w:t>
      </w:r>
    </w:p>
    <w:p w14:paraId="1D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«Статья 15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. Дополнительные гарантии детям-сиротам и детям, оставшимся без попечения родителей, </w:t>
      </w:r>
      <w:r>
        <w:rPr>
          <w:b w:val="1"/>
          <w:sz w:val="28"/>
        </w:rPr>
        <w:t>лицам из числа детей-сирот и детей, оставшихся без попечения родителей,</w:t>
      </w:r>
      <w:r>
        <w:rPr>
          <w:sz w:val="28"/>
        </w:rPr>
        <w:t xml:space="preserve"> в виде компенсации расходов на оплату жилищно- коммунальных услуг</w:t>
      </w:r>
    </w:p>
    <w:p w14:paraId="1E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1. Детям-сиротам и детям, оставшимся без попечения родителей, на время пребывания </w:t>
      </w:r>
      <w:r>
        <w:rPr>
          <w:b w:val="1"/>
          <w:sz w:val="28"/>
        </w:rPr>
        <w:t>в соответствующей организации для детей-сирот и детей, оставшихся без попечения родителей,</w:t>
      </w:r>
      <w:r>
        <w:rPr>
          <w:sz w:val="28"/>
        </w:rPr>
        <w:t xml:space="preserve"> в семье опекуна, попечителя, приемной семье, </w:t>
      </w:r>
      <w:r>
        <w:rPr>
          <w:b w:val="1"/>
          <w:sz w:val="28"/>
        </w:rPr>
        <w:t>а также лицам из числа детей-сирот и детей, оставшихся без попечения родителей, в возрасте от 18 до 23 лет</w:t>
      </w:r>
      <w:r>
        <w:rPr>
          <w:b w:val="1"/>
          <w:sz w:val="28"/>
        </w:rPr>
        <w:t xml:space="preserve"> на время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обуч</w:t>
      </w:r>
      <w:r>
        <w:rPr>
          <w:b w:val="1"/>
          <w:sz w:val="28"/>
        </w:rPr>
        <w:t xml:space="preserve">ения </w:t>
      </w:r>
      <w:r>
        <w:rPr>
          <w:b w:val="1"/>
          <w:sz w:val="28"/>
        </w:rPr>
        <w:t xml:space="preserve">по очной форме </w:t>
      </w:r>
      <w:r>
        <w:rPr>
          <w:b w:val="1"/>
          <w:sz w:val="28"/>
        </w:rPr>
        <w:t>за счет бюджетных ассигнований федерального бюджета, областного бюджета и</w:t>
      </w:r>
      <w:r>
        <w:rPr>
          <w:b w:val="1"/>
          <w:sz w:val="28"/>
        </w:rPr>
        <w:t> </w:t>
      </w:r>
      <w:r>
        <w:rPr>
          <w:b w:val="1"/>
          <w:sz w:val="28"/>
        </w:rPr>
        <w:t>(или)</w:t>
      </w:r>
      <w:r>
        <w:rPr>
          <w:b w:val="1"/>
          <w:sz w:val="28"/>
        </w:rPr>
        <w:t> </w:t>
      </w:r>
      <w:r>
        <w:rPr>
          <w:b w:val="1"/>
          <w:sz w:val="28"/>
        </w:rPr>
        <w:t>местных бюджетов, прохо</w:t>
      </w:r>
      <w:r>
        <w:rPr>
          <w:b w:val="1"/>
          <w:sz w:val="28"/>
        </w:rPr>
        <w:t>ждения</w:t>
      </w:r>
      <w:r>
        <w:rPr>
          <w:b w:val="1"/>
          <w:sz w:val="28"/>
        </w:rPr>
        <w:t xml:space="preserve"> военн</w:t>
      </w:r>
      <w:r>
        <w:rPr>
          <w:b w:val="1"/>
          <w:sz w:val="28"/>
        </w:rPr>
        <w:t>ой</w:t>
      </w:r>
      <w:r>
        <w:rPr>
          <w:b w:val="1"/>
          <w:sz w:val="28"/>
        </w:rPr>
        <w:t xml:space="preserve"> службы</w:t>
      </w:r>
      <w:bookmarkStart w:id="1" w:name="_GoBack"/>
      <w:bookmarkEnd w:id="1"/>
      <w:r>
        <w:rPr>
          <w:b w:val="1"/>
          <w:sz w:val="28"/>
        </w:rPr>
        <w:t xml:space="preserve"> по призыву</w:t>
      </w:r>
      <w:r>
        <w:rPr>
          <w:sz w:val="28"/>
        </w:rPr>
        <w:t xml:space="preserve"> </w:t>
      </w:r>
      <w:r>
        <w:rPr>
          <w:sz w:val="28"/>
        </w:rPr>
        <w:t>предоставляется ежемесячная компенсация расходов на оплату жилищно-коммунальных услуг.</w:t>
      </w:r>
    </w:p>
    <w:p w14:paraId="1F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2. Лицам, указанным в части 1 настоящей статьи, компенсация расходов </w:t>
      </w:r>
      <w:r>
        <w:rPr>
          <w:sz w:val="28"/>
        </w:rPr>
        <w:br/>
      </w:r>
      <w:r>
        <w:rPr>
          <w:sz w:val="28"/>
        </w:rPr>
        <w:t xml:space="preserve">на оплату жилищно-коммунальных услуг предоставляется на одно жилое помещение, находящееся на территории Ростовской области, в котором они проживают в семье опекуна, попечителя или приемной семье </w:t>
      </w:r>
      <w:r>
        <w:rPr>
          <w:b w:val="1"/>
          <w:sz w:val="28"/>
        </w:rPr>
        <w:t xml:space="preserve">либо собственником, нанимателем по договору социального найма, членом семьи нанимателя </w:t>
      </w:r>
      <w:r>
        <w:rPr>
          <w:b w:val="1"/>
          <w:sz w:val="28"/>
        </w:rPr>
        <w:br/>
      </w:r>
      <w:r>
        <w:rPr>
          <w:b w:val="1"/>
          <w:sz w:val="28"/>
        </w:rPr>
        <w:t>по договору социального найма которого они являются</w:t>
      </w:r>
      <w:r>
        <w:rPr>
          <w:sz w:val="28"/>
        </w:rPr>
        <w:t>.</w:t>
      </w:r>
    </w:p>
    <w:p w14:paraId="20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3. Компенсация расходов на оплату жилищно-коммунальных услуг предоставляется в размере 100 процентов:</w:t>
      </w:r>
    </w:p>
    <w:p w14:paraId="21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1) платы за наем и (или) платы за содержание жилого помещения, включающей в себя плату за услуги, работы по управлению многоквартирным домом, за содержание и текущий ремонт общего имущества в многоквартирном доме, исходя из приходящейся на лиц, указанных в части 1 настоящей статьи, доли общей площади жилого помещения (в коммунальных квартирах – доли занимаемой жилой площади);</w:t>
      </w:r>
    </w:p>
    <w:p w14:paraId="22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2) взноса на капитальный ремонт общего имущества в многоквартирном доме. Компенсация рассчитывается исходя из минимального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"https://login.consultant.ru/link/?req=doc&amp;base=RLAW186&amp;n=118684"</w:instrText>
      </w:r>
      <w:r>
        <w:rPr>
          <w:sz w:val="28"/>
        </w:rPr>
        <w:fldChar w:fldCharType="separate"/>
      </w:r>
      <w:r>
        <w:rPr>
          <w:sz w:val="28"/>
        </w:rPr>
        <w:t>размера</w:t>
      </w:r>
      <w:r>
        <w:rPr>
          <w:sz w:val="28"/>
        </w:rPr>
        <w:fldChar w:fldCharType="end"/>
      </w:r>
      <w:r>
        <w:rPr>
          <w:sz w:val="28"/>
        </w:rPr>
        <w:t xml:space="preserve"> взноса </w:t>
      </w:r>
      <w:r>
        <w:rPr>
          <w:sz w:val="28"/>
        </w:rPr>
        <w:br/>
      </w:r>
      <w:r>
        <w:rPr>
          <w:sz w:val="28"/>
        </w:rPr>
        <w:t xml:space="preserve">на капитальный ремонт на один квадратный метр общей площади жилого помещения в месяц, установленного нормативным правовым актом Правительства Ростовской области, и приходящейся на лиц, указанных в части 1 настоящей статьи, доли общей площади жилого помещения (в коммунальных квартирах – доли занимаемой жилой площади); </w:t>
      </w:r>
    </w:p>
    <w:p w14:paraId="23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3) платы за холодную воду, горячую воду, электрическую энергию, потребляемые при использовании и содержании общего имущества </w:t>
      </w:r>
      <w:r>
        <w:rPr>
          <w:sz w:val="28"/>
        </w:rPr>
        <w:br/>
      </w:r>
      <w:r>
        <w:rPr>
          <w:sz w:val="28"/>
        </w:rPr>
        <w:t xml:space="preserve">в многоквартирном доме, а также за отведение сточных вод в целях содержания общего имущества в многоквартирном доме исходя из приходящейся на лиц, указанных в части 1 настоящей статьи, доли общей площади жилого помещения </w:t>
      </w:r>
      <w:r>
        <w:rPr>
          <w:sz w:val="28"/>
        </w:rPr>
        <w:br/>
      </w:r>
      <w:r>
        <w:rPr>
          <w:sz w:val="28"/>
        </w:rPr>
        <w:t>(в коммунальных квартирах – доли занимаемой жилой площади);</w:t>
      </w:r>
    </w:p>
    <w:p w14:paraId="24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4) платы за коммунальные услуги. Компенсация рассчитывается исходя из приходящейся на лиц, указанных в части 1 настоящей статьи, доли в объеме потребляемых коммунальных услуг, определенном по показаниям приборов учета, но не более нормативов потребления, утвержденных в установленном законодательством Российской Федерации порядке. При отсутствии приборов учета компенсация рассчитывается исходя из нормативов потребления коммунальных услуг, утвержденных в установленном законодательством Российской Федерации порядке. При расчете компенсации не учитываются повышающие коэффициенты </w:t>
      </w:r>
      <w:r>
        <w:rPr>
          <w:sz w:val="28"/>
        </w:rPr>
        <w:br/>
      </w:r>
      <w:r>
        <w:rPr>
          <w:sz w:val="28"/>
        </w:rPr>
        <w:t>к нормативам потребления коммунальных услуг, применяемые в случаях, установленных Правительством Российской Федерации;</w:t>
      </w:r>
    </w:p>
    <w:p w14:paraId="25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5) оплаты стоимости твердого топлива, приобретенного в пределах норм, установленных нормативным правовым актом Российской Федерации, </w:t>
      </w:r>
      <w:r>
        <w:rPr>
          <w:sz w:val="28"/>
        </w:rPr>
        <w:t>– при проживании в домах, не имеющих центрального отопления. Компенсация рассчитывается исходя из приходящейся на лиц, указанных в части 1 настоящей статьи, доли общей площади жилого помещения (в коммунальных квартирах – доли занимаемой жилой площади).</w:t>
      </w:r>
    </w:p>
    <w:p w14:paraId="26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4. Расчет размера компенсации расходов на оплату жилищно-коммунальных услуг осуществляется на основании сведений, полученных от организаций, осуществляющих расчеты по оплате жилищно-коммунальных услуг, на основании заключенных соглашений о взаимодействии по вопросам, связанным </w:t>
      </w:r>
      <w:r>
        <w:rPr>
          <w:sz w:val="28"/>
        </w:rPr>
        <w:br/>
      </w:r>
      <w:r>
        <w:rPr>
          <w:sz w:val="28"/>
        </w:rPr>
        <w:t>с предоставлением органам местного самоуправления на безвозмездной основе сведений, необходимых для расчета компенсации расходов на оплату жилищно- коммунальных услуг отдельным категориям граждан.</w:t>
      </w:r>
    </w:p>
    <w:p w14:paraId="27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5. Условия и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"https://login.consultant.ru/link/?req=doc&amp;base=RLAW186&amp;n=136456&amp;dst=100013"</w:instrText>
      </w:r>
      <w:r>
        <w:rPr>
          <w:sz w:val="28"/>
        </w:rPr>
        <w:fldChar w:fldCharType="separate"/>
      </w:r>
      <w:r>
        <w:rPr>
          <w:sz w:val="28"/>
        </w:rPr>
        <w:t>порядок</w:t>
      </w:r>
      <w:r>
        <w:rPr>
          <w:sz w:val="28"/>
        </w:rPr>
        <w:fldChar w:fldCharType="end"/>
      </w:r>
      <w:r>
        <w:rPr>
          <w:sz w:val="28"/>
        </w:rPr>
        <w:t xml:space="preserve"> предоставления компенсации расходов на оплату жилищно-коммунальных услуг определяются Правительством Ростовской области.».</w:t>
      </w:r>
    </w:p>
    <w:p w14:paraId="28000000">
      <w:pPr>
        <w:spacing w:line="360" w:lineRule="auto"/>
        <w:ind w:firstLine="851" w:left="0"/>
        <w:jc w:val="both"/>
        <w:rPr>
          <w:b w:val="1"/>
          <w:sz w:val="28"/>
        </w:rPr>
      </w:pPr>
    </w:p>
    <w:p w14:paraId="29000000">
      <w:pPr>
        <w:spacing w:line="264" w:lineRule="auto"/>
        <w:ind w:firstLine="851" w:left="0"/>
        <w:jc w:val="both"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2A000000">
      <w:pPr>
        <w:spacing w:line="264" w:lineRule="auto"/>
        <w:ind w:firstLine="851" w:left="0"/>
        <w:jc w:val="both"/>
        <w:rPr>
          <w:b w:val="1"/>
          <w:sz w:val="28"/>
        </w:rPr>
      </w:pPr>
    </w:p>
    <w:p w14:paraId="2B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Настоящий Областной закон вступает в силу одновременно с областным законом о внесении изменений в Областной 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"https://login.consultant.ru/link/?req=doc&amp;base=RLAW186&amp;n=75236"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закон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 xml:space="preserve"> от 14 декабря 2023 года №</w:t>
      </w:r>
      <w:r>
        <w:t> </w:t>
      </w:r>
      <w:r>
        <w:rPr>
          <w:sz w:val="28"/>
        </w:rPr>
        <w:t>58- ЗС  «Об областном бюджете на 2024 год и на плановый период 2025 и 2026 годов», устанавливающим общий объем субвенций, предоставляемых местным бюджетам для финансового обеспечения государственных полномочий, и</w:t>
      </w:r>
      <w:r>
        <w:t> </w:t>
      </w:r>
      <w:r>
        <w:rPr>
          <w:sz w:val="28"/>
        </w:rPr>
        <w:t xml:space="preserve">их распределение по каждому муниципальному образованию, но не ранее 1 августа 2024 года. </w:t>
      </w:r>
    </w:p>
    <w:p w14:paraId="2C000000">
      <w:pPr>
        <w:ind w:firstLine="709" w:left="0"/>
        <w:jc w:val="both"/>
        <w:rPr>
          <w:sz w:val="28"/>
        </w:rPr>
      </w:pPr>
    </w:p>
    <w:p w14:paraId="2D000000">
      <w:pPr>
        <w:ind w:firstLine="709" w:left="0"/>
        <w:jc w:val="both"/>
        <w:rPr>
          <w:sz w:val="28"/>
        </w:rPr>
      </w:pPr>
    </w:p>
    <w:tbl>
      <w:tblPr>
        <w:tblStyle w:val="Style_5"/>
        <w:tblW w:type="auto" w:w="0"/>
        <w:tblLayout w:type="fixed"/>
      </w:tblPr>
      <w:tblGrid>
        <w:gridCol w:w="2660"/>
        <w:gridCol w:w="1048"/>
        <w:gridCol w:w="6713"/>
        <w:gridCol w:w="236"/>
      </w:tblGrid>
      <w:tr>
        <w:tc>
          <w:tcPr>
            <w:tcW w:type="dxa" w:w="2660"/>
            <w:shd w:fill="auto" w:val="clear"/>
          </w:tcPr>
          <w:p w14:paraId="2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Губернатор</w:t>
            </w:r>
          </w:p>
          <w:p w14:paraId="2F000000">
            <w:pPr>
              <w:ind/>
              <w:jc w:val="center"/>
              <w:outlineLvl w:val="0"/>
              <w:rPr>
                <w:sz w:val="28"/>
              </w:rPr>
            </w:pPr>
            <w:r>
              <w:rPr>
                <w:sz w:val="28"/>
              </w:rPr>
              <w:t>Ростовской области</w:t>
            </w:r>
          </w:p>
        </w:tc>
        <w:tc>
          <w:tcPr>
            <w:tcW w:type="dxa" w:w="7761"/>
            <w:gridSpan w:val="2"/>
            <w:shd w:fill="auto" w:val="clear"/>
          </w:tcPr>
          <w:p w14:paraId="30000000">
            <w:pPr>
              <w:ind/>
              <w:jc w:val="right"/>
              <w:outlineLvl w:val="0"/>
              <w:rPr>
                <w:sz w:val="28"/>
              </w:rPr>
            </w:pPr>
          </w:p>
          <w:p w14:paraId="31000000">
            <w:pPr>
              <w:ind/>
              <w:jc w:val="right"/>
              <w:outlineLvl w:val="0"/>
              <w:rPr>
                <w:sz w:val="28"/>
              </w:rPr>
            </w:pPr>
            <w:r>
              <w:rPr>
                <w:sz w:val="28"/>
              </w:rPr>
              <w:t>В.Ю. Голубев</w:t>
            </w:r>
          </w:p>
        </w:tc>
        <w:tc>
          <w:tcPr>
            <w:tcW w:type="dxa" w:w="236"/>
          </w:tcPr>
          <w:p/>
        </w:tc>
      </w:tr>
      <w:tr>
        <w:tc>
          <w:tcPr>
            <w:tcW w:type="dxa" w:w="3708"/>
            <w:gridSpan w:val="2"/>
            <w:shd w:fill="auto" w:val="clear"/>
          </w:tcPr>
          <w:p w14:paraId="32000000">
            <w:pPr>
              <w:ind/>
              <w:jc w:val="center"/>
            </w:pPr>
          </w:p>
          <w:p w14:paraId="33000000">
            <w:pPr>
              <w:ind/>
              <w:jc w:val="center"/>
            </w:pPr>
          </w:p>
          <w:p w14:paraId="34000000">
            <w:pPr>
              <w:ind/>
              <w:jc w:val="center"/>
            </w:pPr>
          </w:p>
          <w:p w14:paraId="35000000">
            <w:pPr>
              <w:ind/>
              <w:jc w:val="center"/>
            </w:pPr>
          </w:p>
          <w:p w14:paraId="36000000">
            <w:pPr>
              <w:ind/>
              <w:jc w:val="center"/>
            </w:pPr>
          </w:p>
          <w:p w14:paraId="37000000">
            <w:pPr>
              <w:ind/>
              <w:jc w:val="center"/>
            </w:pPr>
          </w:p>
          <w:p w14:paraId="38000000">
            <w:pPr>
              <w:ind/>
              <w:jc w:val="center"/>
            </w:pPr>
          </w:p>
          <w:p w14:paraId="39000000">
            <w:pPr>
              <w:ind/>
              <w:jc w:val="center"/>
            </w:pPr>
          </w:p>
          <w:p w14:paraId="3A000000">
            <w:pPr>
              <w:ind/>
              <w:jc w:val="center"/>
            </w:pPr>
          </w:p>
          <w:p w14:paraId="3B000000">
            <w:pPr>
              <w:ind/>
              <w:jc w:val="center"/>
            </w:pPr>
          </w:p>
          <w:p w14:paraId="3C000000">
            <w:pPr>
              <w:ind/>
              <w:jc w:val="center"/>
            </w:pPr>
          </w:p>
          <w:p w14:paraId="3D000000">
            <w:pPr>
              <w:ind/>
              <w:jc w:val="center"/>
            </w:pPr>
          </w:p>
          <w:p w14:paraId="3E000000">
            <w:pPr>
              <w:ind/>
              <w:jc w:val="center"/>
            </w:pPr>
            <w:r>
              <w:t>Министр общего и профессионального образования</w:t>
            </w:r>
          </w:p>
          <w:p w14:paraId="3F000000">
            <w:pPr>
              <w:ind/>
              <w:jc w:val="center"/>
            </w:pPr>
            <w:r>
              <w:t>Ростовской области</w:t>
            </w:r>
          </w:p>
        </w:tc>
        <w:tc>
          <w:tcPr>
            <w:tcW w:type="dxa" w:w="6949"/>
            <w:gridSpan w:val="2"/>
            <w:shd w:fill="auto" w:val="clear"/>
          </w:tcPr>
          <w:p w14:paraId="40000000">
            <w:pPr>
              <w:ind/>
              <w:jc w:val="right"/>
            </w:pPr>
          </w:p>
          <w:p w14:paraId="41000000">
            <w:pPr>
              <w:ind/>
              <w:jc w:val="right"/>
            </w:pPr>
          </w:p>
          <w:p w14:paraId="42000000">
            <w:pPr>
              <w:ind w:firstLine="0" w:left="4763"/>
              <w:jc w:val="right"/>
            </w:pPr>
          </w:p>
          <w:p w14:paraId="43000000">
            <w:pPr>
              <w:ind w:firstLine="0" w:left="4763"/>
              <w:jc w:val="right"/>
            </w:pPr>
          </w:p>
          <w:p w14:paraId="44000000">
            <w:pPr>
              <w:ind w:firstLine="0" w:left="4763"/>
              <w:jc w:val="right"/>
            </w:pPr>
          </w:p>
          <w:p w14:paraId="45000000">
            <w:pPr>
              <w:ind w:firstLine="0" w:left="4763"/>
              <w:jc w:val="right"/>
            </w:pPr>
          </w:p>
          <w:p w14:paraId="46000000">
            <w:pPr>
              <w:ind w:firstLine="0" w:left="4763"/>
              <w:jc w:val="right"/>
            </w:pPr>
          </w:p>
          <w:p w14:paraId="47000000">
            <w:pPr>
              <w:ind w:firstLine="0" w:left="4763"/>
              <w:jc w:val="right"/>
            </w:pPr>
          </w:p>
          <w:p w14:paraId="48000000">
            <w:pPr>
              <w:ind w:firstLine="0" w:left="4763"/>
              <w:jc w:val="right"/>
            </w:pPr>
          </w:p>
          <w:p w14:paraId="49000000">
            <w:pPr>
              <w:ind w:firstLine="0" w:left="4763"/>
              <w:jc w:val="right"/>
            </w:pPr>
          </w:p>
          <w:p w14:paraId="4A000000">
            <w:pPr>
              <w:ind w:firstLine="0" w:left="4763"/>
              <w:jc w:val="right"/>
            </w:pPr>
          </w:p>
          <w:p w14:paraId="4B000000">
            <w:pPr>
              <w:ind w:firstLine="0" w:left="4763"/>
              <w:jc w:val="right"/>
            </w:pPr>
          </w:p>
          <w:p w14:paraId="4C000000">
            <w:pPr>
              <w:ind w:firstLine="0" w:left="4763"/>
              <w:jc w:val="center"/>
            </w:pPr>
          </w:p>
          <w:p w14:paraId="4D000000">
            <w:pPr>
              <w:ind w:firstLine="0" w:left="4763"/>
              <w:jc w:val="center"/>
            </w:pPr>
          </w:p>
          <w:p w14:paraId="4E000000">
            <w:pPr>
              <w:ind w:firstLine="0" w:left="4763"/>
              <w:jc w:val="center"/>
            </w:pPr>
            <w:r>
              <w:t>Т.С. Шевченко</w:t>
            </w:r>
          </w:p>
        </w:tc>
      </w:tr>
    </w:tbl>
    <w:p w14:paraId="4F000000">
      <w:pPr>
        <w:ind/>
        <w:jc w:val="both"/>
        <w:rPr>
          <w:sz w:val="4"/>
        </w:rPr>
      </w:pPr>
    </w:p>
    <w:sectPr>
      <w:headerReference r:id="rId1" w:type="default"/>
      <w:pgSz w:h="16838" w:orient="portrait" w:w="11906"/>
      <w:pgMar w:bottom="1134" w:footer="261" w:gutter="0" w:header="709" w:left="113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  <w:p w14:paraId="02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Основной шрифт абзаца3"/>
    <w:link w:val="Style_8_ch"/>
  </w:style>
  <w:style w:styleId="Style_8_ch" w:type="character">
    <w:name w:val="Основной шрифт абзаца3"/>
    <w:link w:val="Style_8"/>
  </w:style>
  <w:style w:styleId="Style_9" w:type="paragraph">
    <w:name w:val="toc 4"/>
    <w:next w:val="Style_6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Обычный1"/>
    <w:link w:val="Style_12_ch"/>
    <w:rPr>
      <w:sz w:val="24"/>
    </w:rPr>
  </w:style>
  <w:style w:styleId="Style_12_ch" w:type="character">
    <w:name w:val="Обычный1"/>
    <w:link w:val="Style_12"/>
    <w:rPr>
      <w:sz w:val="24"/>
    </w:rPr>
  </w:style>
  <w:style w:styleId="Style_13" w:type="paragraph">
    <w:name w:val="Обычный1"/>
    <w:link w:val="Style_13_ch"/>
    <w:rPr>
      <w:sz w:val="24"/>
    </w:rPr>
  </w:style>
  <w:style w:styleId="Style_13_ch" w:type="character">
    <w:name w:val="Обычный1"/>
    <w:link w:val="Style_13"/>
    <w:rPr>
      <w:sz w:val="24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basedOn w:val="Style_6"/>
    <w:next w:val="Style_6"/>
    <w:link w:val="Style_15_ch"/>
    <w:uiPriority w:val="9"/>
    <w:qFormat/>
    <w:pPr>
      <w:keepNext w:val="1"/>
      <w:widowControl w:val="0"/>
      <w:ind w:firstLine="485" w:left="0"/>
      <w:jc w:val="both"/>
      <w:outlineLvl w:val="2"/>
    </w:pPr>
    <w:rPr>
      <w:sz w:val="26"/>
    </w:rPr>
  </w:style>
  <w:style w:styleId="Style_15_ch" w:type="character">
    <w:name w:val="heading 3"/>
    <w:basedOn w:val="Style_6_ch"/>
    <w:link w:val="Style_15"/>
    <w:rPr>
      <w:sz w:val="26"/>
    </w:rPr>
  </w:style>
  <w:style w:styleId="Style_3" w:type="paragraph">
    <w:name w:val="ConsPlusNormal"/>
    <w:link w:val="Style_3_ch"/>
    <w:pPr>
      <w:widowControl w:val="0"/>
      <w:ind w:firstLine="720" w:left="0"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16" w:type="paragraph">
    <w:name w:val="Body Text Indent"/>
    <w:basedOn w:val="Style_6"/>
    <w:link w:val="Style_16_ch"/>
    <w:pPr>
      <w:spacing w:after="120"/>
      <w:ind w:firstLine="0" w:left="283"/>
    </w:pPr>
  </w:style>
  <w:style w:styleId="Style_16_ch" w:type="character">
    <w:name w:val="Body Text Indent"/>
    <w:basedOn w:val="Style_6_ch"/>
    <w:link w:val="Style_16"/>
  </w:style>
  <w:style w:styleId="Style_17" w:type="paragraph">
    <w:name w:val="Знак3 Знак Знак Знак"/>
    <w:basedOn w:val="Style_6"/>
    <w:link w:val="Style_17_ch"/>
    <w:pPr>
      <w:spacing w:after="160" w:line="240" w:lineRule="exact"/>
      <w:ind/>
    </w:pPr>
    <w:rPr>
      <w:rFonts w:ascii="Verdana" w:hAnsi="Verdana"/>
      <w:sz w:val="20"/>
    </w:rPr>
  </w:style>
  <w:style w:styleId="Style_17_ch" w:type="character">
    <w:name w:val="Знак3 Знак Знак Знак"/>
    <w:basedOn w:val="Style_6_ch"/>
    <w:link w:val="Style_17"/>
    <w:rPr>
      <w:rFonts w:ascii="Verdana" w:hAnsi="Verdana"/>
      <w:sz w:val="20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2" w:type="paragraph">
    <w:name w:val="ConsPlusTitle"/>
    <w:link w:val="Style_2_ch"/>
    <w:pPr>
      <w:widowControl w:val="0"/>
      <w:ind/>
    </w:pPr>
    <w:rPr>
      <w:rFonts w:ascii="Arial" w:hAnsi="Arial"/>
      <w:b w:val="1"/>
    </w:rPr>
  </w:style>
  <w:style w:styleId="Style_2_ch" w:type="character">
    <w:name w:val="ConsPlusTitle"/>
    <w:link w:val="Style_2"/>
    <w:rPr>
      <w:rFonts w:ascii="Arial" w:hAnsi="Arial"/>
      <w:b w:val="1"/>
    </w:rPr>
  </w:style>
  <w:style w:styleId="Style_19" w:type="paragraph">
    <w:name w:val="Знак сноски1"/>
    <w:link w:val="Style_19_ch"/>
    <w:rPr>
      <w:vertAlign w:val="superscript"/>
    </w:rPr>
  </w:style>
  <w:style w:styleId="Style_19_ch" w:type="character">
    <w:name w:val="Знак сноски1"/>
    <w:link w:val="Style_19"/>
    <w:rPr>
      <w:vertAlign w:val="superscript"/>
    </w:rPr>
  </w:style>
  <w:style w:styleId="Style_20" w:type="paragraph">
    <w:name w:val="Номер страницы1"/>
    <w:basedOn w:val="Style_21"/>
    <w:link w:val="Style_20_ch"/>
  </w:style>
  <w:style w:styleId="Style_20_ch" w:type="character">
    <w:name w:val="Номер страницы1"/>
    <w:basedOn w:val="Style_21_ch"/>
    <w:link w:val="Style_20"/>
  </w:style>
  <w:style w:styleId="Style_22" w:type="paragraph">
    <w:name w:val="toc 3"/>
    <w:next w:val="Style_6"/>
    <w:link w:val="Style_22_ch"/>
    <w:uiPriority w:val="39"/>
    <w:pPr>
      <w:ind w:firstLine="0" w:left="400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Body Text Indent 2"/>
    <w:basedOn w:val="Style_6"/>
    <w:link w:val="Style_23_ch"/>
    <w:pPr>
      <w:ind w:firstLine="708" w:left="0"/>
      <w:jc w:val="both"/>
    </w:pPr>
  </w:style>
  <w:style w:styleId="Style_23_ch" w:type="character">
    <w:name w:val="Body Text Indent 2"/>
    <w:basedOn w:val="Style_6_ch"/>
    <w:link w:val="Style_23"/>
  </w:style>
  <w:style w:styleId="Style_24" w:type="paragraph">
    <w:name w:val="heading 5"/>
    <w:next w:val="Style_6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Знак3 Знак Знак Знак"/>
    <w:basedOn w:val="Style_6"/>
    <w:link w:val="Style_25_ch"/>
    <w:pPr>
      <w:spacing w:after="160" w:line="240" w:lineRule="exact"/>
      <w:ind/>
    </w:pPr>
    <w:rPr>
      <w:rFonts w:ascii="Verdana" w:hAnsi="Verdana"/>
      <w:sz w:val="20"/>
    </w:rPr>
  </w:style>
  <w:style w:styleId="Style_25_ch" w:type="character">
    <w:name w:val="Знак3 Знак Знак Знак"/>
    <w:basedOn w:val="Style_6_ch"/>
    <w:link w:val="Style_25"/>
    <w:rPr>
      <w:rFonts w:ascii="Verdana" w:hAnsi="Verdana"/>
      <w:sz w:val="20"/>
    </w:rPr>
  </w:style>
  <w:style w:styleId="Style_26" w:type="paragraph">
    <w:name w:val="formattext"/>
    <w:basedOn w:val="Style_6"/>
    <w:link w:val="Style_26_ch"/>
    <w:pPr>
      <w:spacing w:afterAutospacing="on" w:beforeAutospacing="on"/>
      <w:ind/>
    </w:pPr>
  </w:style>
  <w:style w:styleId="Style_26_ch" w:type="character">
    <w:name w:val="formattext"/>
    <w:basedOn w:val="Style_6_ch"/>
    <w:link w:val="Style_26"/>
  </w:style>
  <w:style w:styleId="Style_27" w:type="paragraph">
    <w:name w:val="heading 1"/>
    <w:basedOn w:val="Style_6"/>
    <w:next w:val="Style_6"/>
    <w:link w:val="Style_27_ch"/>
    <w:uiPriority w:val="9"/>
    <w:qFormat/>
    <w:pPr>
      <w:keepNext w:val="1"/>
      <w:widowControl w:val="0"/>
      <w:ind/>
      <w:jc w:val="both"/>
      <w:outlineLvl w:val="0"/>
    </w:pPr>
    <w:rPr>
      <w:sz w:val="28"/>
    </w:rPr>
  </w:style>
  <w:style w:styleId="Style_27_ch" w:type="character">
    <w:name w:val="heading 1"/>
    <w:basedOn w:val="Style_6_ch"/>
    <w:link w:val="Style_27"/>
    <w:rPr>
      <w:sz w:val="28"/>
    </w:rPr>
  </w:style>
  <w:style w:styleId="Style_28" w:type="paragraph">
    <w:name w:val="List Paragraph"/>
    <w:basedOn w:val="Style_6"/>
    <w:link w:val="Style_28_ch"/>
    <w:pPr>
      <w:ind w:firstLine="0" w:left="708"/>
    </w:pPr>
  </w:style>
  <w:style w:styleId="Style_28_ch" w:type="character">
    <w:name w:val="List Paragraph"/>
    <w:basedOn w:val="Style_6_ch"/>
    <w:link w:val="Style_28"/>
  </w:style>
  <w:style w:styleId="Style_29" w:type="paragraph">
    <w:name w:val="Hyperlink"/>
    <w:link w:val="Style_29_ch"/>
    <w:rPr>
      <w:color w:val="0000FF"/>
      <w:u w:val="single"/>
    </w:rPr>
  </w:style>
  <w:style w:styleId="Style_29_ch" w:type="character">
    <w:name w:val="Hyperlink"/>
    <w:link w:val="Style_29"/>
    <w:rPr>
      <w:color w:val="0000FF"/>
      <w:u w:val="single"/>
    </w:rPr>
  </w:style>
  <w:style w:styleId="Style_30" w:type="paragraph">
    <w:name w:val="Footnote"/>
    <w:basedOn w:val="Style_6"/>
    <w:link w:val="Style_30_ch"/>
    <w:rPr>
      <w:sz w:val="20"/>
    </w:rPr>
  </w:style>
  <w:style w:styleId="Style_30_ch" w:type="character">
    <w:name w:val="Footnote"/>
    <w:basedOn w:val="Style_6_ch"/>
    <w:link w:val="Style_30"/>
    <w:rPr>
      <w:sz w:val="20"/>
    </w:rPr>
  </w:style>
  <w:style w:styleId="Style_31" w:type="paragraph">
    <w:name w:val="No Spacing"/>
    <w:link w:val="Style_31_ch"/>
    <w:rPr>
      <w:sz w:val="24"/>
    </w:rPr>
  </w:style>
  <w:style w:styleId="Style_31_ch" w:type="character">
    <w:name w:val="No Spacing"/>
    <w:link w:val="Style_31"/>
    <w:rPr>
      <w:sz w:val="24"/>
    </w:rPr>
  </w:style>
  <w:style w:styleId="Style_32" w:type="paragraph">
    <w:name w:val="toc 1"/>
    <w:next w:val="Style_6"/>
    <w:link w:val="Style_32_ch"/>
    <w:uiPriority w:val="39"/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Document Map"/>
    <w:basedOn w:val="Style_6"/>
    <w:link w:val="Style_33_ch"/>
    <w:rPr>
      <w:rFonts w:ascii="Tahoma" w:hAnsi="Tahoma"/>
      <w:sz w:val="20"/>
    </w:rPr>
  </w:style>
  <w:style w:styleId="Style_33_ch" w:type="character">
    <w:name w:val="Document Map"/>
    <w:basedOn w:val="Style_6_ch"/>
    <w:link w:val="Style_33"/>
    <w:rPr>
      <w:rFonts w:ascii="Tahoma" w:hAnsi="Tahoma"/>
      <w:sz w:val="20"/>
    </w:rPr>
  </w:style>
  <w:style w:styleId="Style_34" w:type="paragraph">
    <w:name w:val="Обычный1"/>
    <w:link w:val="Style_34_ch"/>
    <w:rPr>
      <w:sz w:val="24"/>
    </w:rPr>
  </w:style>
  <w:style w:styleId="Style_34_ch" w:type="character">
    <w:name w:val="Обычный1"/>
    <w:link w:val="Style_34"/>
    <w:rPr>
      <w:sz w:val="24"/>
    </w:rPr>
  </w:style>
  <w:style w:styleId="Style_35" w:type="paragraph">
    <w:name w:val="Header and Footer"/>
    <w:link w:val="Style_35_ch"/>
    <w:pPr>
      <w:ind/>
      <w:jc w:val="both"/>
    </w:pPr>
    <w:rPr>
      <w:rFonts w:ascii="XO Thames" w:hAnsi="XO Thames"/>
    </w:rPr>
  </w:style>
  <w:style w:styleId="Style_35_ch" w:type="character">
    <w:name w:val="Header and Footer"/>
    <w:link w:val="Style_35"/>
    <w:rPr>
      <w:rFonts w:ascii="XO Thames" w:hAnsi="XO Thames"/>
    </w:rPr>
  </w:style>
  <w:style w:styleId="Style_36" w:type="paragraph">
    <w:name w:val="toc 9"/>
    <w:next w:val="Style_6"/>
    <w:link w:val="Style_36_ch"/>
    <w:uiPriority w:val="39"/>
    <w:pPr>
      <w:ind w:firstLine="0" w:left="1600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37" w:type="paragraph">
    <w:name w:val="toc 8"/>
    <w:next w:val="Style_6"/>
    <w:link w:val="Style_37_ch"/>
    <w:uiPriority w:val="39"/>
    <w:pPr>
      <w:ind w:firstLine="0" w:left="1400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footer"/>
    <w:basedOn w:val="Style_6"/>
    <w:link w:val="Style_38_ch"/>
    <w:pPr>
      <w:tabs>
        <w:tab w:leader="none" w:pos="4677" w:val="center"/>
        <w:tab w:leader="none" w:pos="9355" w:val="right"/>
      </w:tabs>
      <w:ind/>
    </w:pPr>
  </w:style>
  <w:style w:styleId="Style_38_ch" w:type="character">
    <w:name w:val="footer"/>
    <w:basedOn w:val="Style_6_ch"/>
    <w:link w:val="Style_38"/>
  </w:style>
  <w:style w:styleId="Style_39" w:type="paragraph">
    <w:name w:val="Гиперссылка2"/>
    <w:link w:val="Style_39_ch"/>
    <w:rPr>
      <w:color w:val="0000FF"/>
      <w:u w:val="single"/>
    </w:rPr>
  </w:style>
  <w:style w:styleId="Style_39_ch" w:type="character">
    <w:name w:val="Гиперссылка2"/>
    <w:link w:val="Style_39"/>
    <w:rPr>
      <w:color w:val="0000FF"/>
      <w:u w:val="single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40" w:type="paragraph">
    <w:name w:val="toc 5"/>
    <w:next w:val="Style_6"/>
    <w:link w:val="Style_40_ch"/>
    <w:uiPriority w:val="39"/>
    <w:pPr>
      <w:ind w:firstLine="0" w:left="800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4" w:type="paragraph">
    <w:name w:val="Гиперссылка1"/>
    <w:link w:val="Style_4_ch"/>
    <w:rPr>
      <w:color w:val="0000FF"/>
      <w:u w:val="single"/>
    </w:rPr>
  </w:style>
  <w:style w:styleId="Style_4_ch" w:type="character">
    <w:name w:val="Гиперссылка1"/>
    <w:link w:val="Style_4"/>
    <w:rPr>
      <w:color w:val="0000FF"/>
      <w:u w:val="single"/>
    </w:rPr>
  </w:style>
  <w:style w:styleId="Style_41" w:type="paragraph">
    <w:name w:val="ConsTitle"/>
    <w:link w:val="Style_41_ch"/>
    <w:pPr>
      <w:widowControl w:val="0"/>
      <w:ind/>
    </w:pPr>
    <w:rPr>
      <w:rFonts w:ascii="Arial" w:hAnsi="Arial"/>
      <w:b w:val="1"/>
      <w:sz w:val="14"/>
    </w:rPr>
  </w:style>
  <w:style w:styleId="Style_41_ch" w:type="character">
    <w:name w:val="ConsTitle"/>
    <w:link w:val="Style_41"/>
    <w:rPr>
      <w:rFonts w:ascii="Arial" w:hAnsi="Arial"/>
      <w:b w:val="1"/>
      <w:sz w:val="14"/>
    </w:rPr>
  </w:style>
  <w:style w:styleId="Style_42" w:type="paragraph">
    <w:name w:val="Основной шрифт абзаца2"/>
    <w:link w:val="Style_42_ch"/>
  </w:style>
  <w:style w:styleId="Style_42_ch" w:type="character">
    <w:name w:val="Основной шрифт абзаца2"/>
    <w:link w:val="Style_42"/>
  </w:style>
  <w:style w:styleId="Style_43" w:type="paragraph">
    <w:name w:val="Гиперссылка1"/>
    <w:link w:val="Style_43_ch"/>
    <w:rPr>
      <w:color w:val="0000FF"/>
      <w:u w:val="single"/>
    </w:rPr>
  </w:style>
  <w:style w:styleId="Style_43_ch" w:type="character">
    <w:name w:val="Гиперссылка1"/>
    <w:link w:val="Style_43"/>
    <w:rPr>
      <w:color w:val="0000FF"/>
      <w:u w:val="single"/>
    </w:rPr>
  </w:style>
  <w:style w:styleId="Style_44" w:type="paragraph">
    <w:name w:val="Balloon Text"/>
    <w:basedOn w:val="Style_6"/>
    <w:link w:val="Style_44_ch"/>
    <w:rPr>
      <w:rFonts w:ascii="Tahoma" w:hAnsi="Tahoma"/>
      <w:sz w:val="16"/>
    </w:rPr>
  </w:style>
  <w:style w:styleId="Style_44_ch" w:type="character">
    <w:name w:val="Balloon Text"/>
    <w:basedOn w:val="Style_6_ch"/>
    <w:link w:val="Style_44"/>
    <w:rPr>
      <w:rFonts w:ascii="Tahoma" w:hAnsi="Tahoma"/>
      <w:sz w:val="16"/>
    </w:rPr>
  </w:style>
  <w:style w:styleId="Style_45" w:type="paragraph">
    <w:name w:val="Subtitle"/>
    <w:next w:val="Style_6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46" w:type="paragraph">
    <w:name w:val="Title"/>
    <w:basedOn w:val="Style_6"/>
    <w:link w:val="Style_46_ch"/>
    <w:uiPriority w:val="10"/>
    <w:qFormat/>
    <w:pPr>
      <w:ind/>
      <w:jc w:val="center"/>
    </w:pPr>
    <w:rPr>
      <w:b w:val="1"/>
      <w:sz w:val="28"/>
    </w:rPr>
  </w:style>
  <w:style w:styleId="Style_46_ch" w:type="character">
    <w:name w:val="Title"/>
    <w:basedOn w:val="Style_6_ch"/>
    <w:link w:val="Style_46"/>
    <w:rPr>
      <w:b w:val="1"/>
      <w:sz w:val="28"/>
    </w:rPr>
  </w:style>
  <w:style w:styleId="Style_47" w:type="paragraph">
    <w:name w:val="heading 4"/>
    <w:basedOn w:val="Style_6"/>
    <w:next w:val="Style_6"/>
    <w:link w:val="Style_47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47_ch" w:type="character">
    <w:name w:val="heading 4"/>
    <w:basedOn w:val="Style_6_ch"/>
    <w:link w:val="Style_47"/>
    <w:rPr>
      <w:b w:val="1"/>
      <w:sz w:val="2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48" w:type="paragraph">
    <w:name w:val="heading 2"/>
    <w:basedOn w:val="Style_6"/>
    <w:next w:val="Style_6"/>
    <w:link w:val="Style_48_ch"/>
    <w:uiPriority w:val="9"/>
    <w:qFormat/>
    <w:pPr>
      <w:keepNext w:val="1"/>
      <w:widowControl w:val="0"/>
      <w:ind w:firstLine="485" w:left="0"/>
      <w:jc w:val="both"/>
      <w:outlineLvl w:val="1"/>
    </w:pPr>
    <w:rPr>
      <w:b w:val="1"/>
      <w:sz w:val="32"/>
    </w:rPr>
  </w:style>
  <w:style w:styleId="Style_48_ch" w:type="character">
    <w:name w:val="heading 2"/>
    <w:basedOn w:val="Style_6_ch"/>
    <w:link w:val="Style_48"/>
    <w:rPr>
      <w:b w:val="1"/>
      <w:sz w:val="32"/>
    </w:rPr>
  </w:style>
  <w:style w:styleId="Style_49" w:type="paragraph">
    <w:name w:val="Body Text"/>
    <w:basedOn w:val="Style_6"/>
    <w:link w:val="Style_49_ch"/>
    <w:pPr>
      <w:widowControl w:val="0"/>
      <w:ind/>
      <w:jc w:val="both"/>
    </w:pPr>
    <w:rPr>
      <w:sz w:val="28"/>
    </w:rPr>
  </w:style>
  <w:style w:styleId="Style_49_ch" w:type="character">
    <w:name w:val="Body Text"/>
    <w:basedOn w:val="Style_6_ch"/>
    <w:link w:val="Style_49"/>
    <w:rPr>
      <w:sz w:val="28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0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2024-05-17T13:12:05Z</dcterms:modified>
</cp:coreProperties>
</file>